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0"/>
          <w:szCs w:val="20"/>
        </w:rPr>
      </w:pPr>
      <w:r w:rsidRPr="007A072F">
        <w:rPr>
          <w:rFonts w:ascii="Arial" w:hAnsi="Arial" w:cs="Arial"/>
          <w:b/>
          <w:bCs/>
          <w:sz w:val="20"/>
          <w:szCs w:val="20"/>
        </w:rPr>
        <w:t>Objaśnienia przyjętych wartości do Wieloletniej Prognozy Finansowej Gminy Boniewo na lata 2020-2028.</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Obowiązek sporządzenia Wieloletniej Prognozy Finansowej jest jedną z zasadniczych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 Wieloletniej Prognozie Finansowej Gminy Boniewo zastosowano wzory załączników (załącznik nr 1 oraz załącznik nr 2 do uchwały) zgodnie z Rozporządzeniem Ministra Finansów z dnia 10 stycznia 2013 roku w sprawie wieloletniej prognozy finansowej jednostki samorządu terytorialnego (Dz. U. z 2015 r. poz. 92) z uwzględnieniem zmian wynikających z Rozporządzenia Ministra Finansów, Inwestycji i Rozwoju z dnia 1 października 2019 r. zmieniającego rozporządzenie w sprawie wieloletniej prognozy finansowej jednostki samorządu terytorialnego (Dz. U. z 2019 r. poz. 1903).</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Podstawą opracowania Wieloletniej Prognozy Finansowej Gminy Boniewo jest projekt uchwały budżetowej na 2020 rok, dane sprawozdawcze z wykonania budżetu Gminy Boniewo za lata 2017 i 2018, wartości planowane na koniec III kwartału 2019 roku oraz wytyczne Ministra Finansów, Inwestycji i Rozwoju dotyczące założeń makroekonomicznych dla potrzeb sporządzania wieloletnich prognoz finansowych jednostek samorządu terytorialnego.</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Art. 227 ust. 1 ustawy z dnia 27 sierpnia 2009 roku o finansach publicznych (</w:t>
      </w:r>
      <w:proofErr w:type="spellStart"/>
      <w:r w:rsidRPr="007A072F">
        <w:rPr>
          <w:rFonts w:ascii="Arial" w:hAnsi="Arial" w:cs="Arial"/>
          <w:sz w:val="20"/>
          <w:szCs w:val="20"/>
        </w:rPr>
        <w:t>t.j</w:t>
      </w:r>
      <w:proofErr w:type="spellEnd"/>
      <w:r w:rsidRPr="007A072F">
        <w:rPr>
          <w:rFonts w:ascii="Arial" w:hAnsi="Arial" w:cs="Arial"/>
          <w:sz w:val="20"/>
          <w:szCs w:val="20"/>
        </w:rPr>
        <w:t>. Dz. U. z 2019 r. poz. 869 z </w:t>
      </w:r>
      <w:proofErr w:type="spellStart"/>
      <w:r w:rsidRPr="007A072F">
        <w:rPr>
          <w:rFonts w:ascii="Arial" w:hAnsi="Arial" w:cs="Arial"/>
          <w:sz w:val="20"/>
          <w:szCs w:val="20"/>
        </w:rPr>
        <w:t>późn</w:t>
      </w:r>
      <w:proofErr w:type="spellEnd"/>
      <w:r w:rsidRPr="007A072F">
        <w:rPr>
          <w:rFonts w:ascii="Arial" w:hAnsi="Arial" w:cs="Arial"/>
          <w:sz w:val="20"/>
          <w:szCs w:val="20"/>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2028. W związku z powyższym, Wieloletnia Prognoza Finansowa Gminy Boniewo została przygotowana na lata 2020-2028.</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Kwoty wydatków wynikające z limitów wydatków na przedsięwzięcia nie wykraczają poza okres prognozy kwoty długu. Nie planuje się także wydatków z tytułu niewymagalnych poręczeń i gwarancji, które przekraczałyby okres prognozy kwoty długu.</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1. Założenia makroekonomiczne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Przy opracowaniu prognozy pozycji budżetowych Gminy Boniewo wykorzystano dwa podstawowe mierniki koniunktury gospodarczej – produkt krajowy brutto (PKB) oraz wskaźnik inflacji (CPI). Na ich podstawie oszacowano wartości dochodów i wydatków Gminy Boniewo, co, dzięki konstrukcji i zaawansowanym metodom dokonywania obliczeń, pozwoli realizować w przyszłości właściwą politykę finansową jednostki.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Zgodnie z zaleceniami Ministra właściwego ds. finansów, prognozę wskazanych pozycji oparto o Wytyczne dotyczące stosowania jednolitych wskaźników makroekonomicznych będących podstawą oszacowania skutków finansowych projektowanych ustaw. Ostatnia dostępna aktualizacja ww. wytycznych miała miejsce 28 października 2019 r., a dane wynikające z powołanego dokumentu prezentuje tabela 1.</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A072F">
        <w:rPr>
          <w:rFonts w:ascii="Arial" w:hAnsi="Arial" w:cs="Arial"/>
          <w:b/>
          <w:bCs/>
          <w:sz w:val="20"/>
          <w:szCs w:val="20"/>
        </w:rPr>
        <w:t>Tabela 1. Dane makroekonomiczne przyjęte do wyliczeń prognozy</w:t>
      </w:r>
    </w:p>
    <w:tbl>
      <w:tblPr>
        <w:tblW w:w="0" w:type="auto"/>
        <w:tblInd w:w="10" w:type="dxa"/>
        <w:tblLayout w:type="fixed"/>
        <w:tblCellMar>
          <w:left w:w="10" w:type="dxa"/>
          <w:right w:w="10" w:type="dxa"/>
        </w:tblCellMar>
        <w:tblLook w:val="0000"/>
      </w:tblPr>
      <w:tblGrid>
        <w:gridCol w:w="1080"/>
        <w:gridCol w:w="1080"/>
        <w:gridCol w:w="1080"/>
        <w:gridCol w:w="1080"/>
        <w:gridCol w:w="1080"/>
        <w:gridCol w:w="1080"/>
        <w:gridCol w:w="1080"/>
        <w:gridCol w:w="1080"/>
      </w:tblGrid>
      <w:tr w:rsidR="007A072F" w:rsidRPr="007A072F">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Wskaźnik</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2020</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2021</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2022</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2023</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2024</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2025</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2026</w:t>
            </w:r>
          </w:p>
        </w:tc>
      </w:tr>
      <w:tr w:rsidR="007A072F" w:rsidRPr="007A072F">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lastRenderedPageBreak/>
              <w:t>PKB</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3,70%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3,40%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3,30%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3,10%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3,00%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3,00%</w:t>
            </w:r>
          </w:p>
        </w:tc>
      </w:tr>
      <w:tr w:rsidR="007A072F" w:rsidRPr="007A072F">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Inflacja</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r>
      <w:tr w:rsidR="007A072F" w:rsidRPr="007A072F">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Wynagrodzenia</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3,40%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3,20%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3,20%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3,20%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3,20%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3,20%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3,10%</w:t>
            </w:r>
          </w:p>
        </w:tc>
      </w:tr>
      <w:tr w:rsidR="007A072F" w:rsidRPr="007A072F">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Wskaźnik</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2027</w:t>
            </w:r>
          </w:p>
        </w:tc>
        <w:tc>
          <w:tcPr>
            <w:tcW w:w="108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2028</w:t>
            </w:r>
          </w:p>
        </w:tc>
        <w:tc>
          <w:tcPr>
            <w:tcW w:w="5400" w:type="dxa"/>
            <w:gridSpan w:val="5"/>
            <w:vMerge w:val="restart"/>
            <w:tcBorders>
              <w:top w:val="single" w:sz="4" w:space="0" w:color="auto"/>
              <w:left w:val="nil"/>
              <w:bottom w:val="single" w:sz="4" w:space="0" w:color="auto"/>
              <w:right w:val="nil"/>
            </w:tcBorders>
            <w:tcMar>
              <w:left w:w="0" w:type="dxa"/>
              <w:right w:w="0" w:type="dxa"/>
            </w:tcMar>
            <w:vAlign w:val="center"/>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r>
      <w:tr w:rsidR="007A072F" w:rsidRPr="007A072F">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PKB</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2,90%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2,80%</w:t>
            </w:r>
          </w:p>
        </w:tc>
        <w:tc>
          <w:tcPr>
            <w:tcW w:w="5400" w:type="dxa"/>
            <w:gridSpan w:val="5"/>
            <w:vMerge/>
            <w:tcBorders>
              <w:top w:val="nil"/>
              <w:left w:val="nil"/>
              <w:bottom w:val="single" w:sz="4" w:space="0" w:color="auto"/>
              <w:right w:val="nil"/>
            </w:tcBorders>
            <w:tcMar>
              <w:left w:w="0" w:type="dxa"/>
            </w:tcMar>
          </w:tcPr>
          <w:p w:rsidR="007A072F" w:rsidRPr="007A072F" w:rsidRDefault="007A072F" w:rsidP="007A072F">
            <w:pPr>
              <w:widowControl w:val="0"/>
              <w:autoSpaceDE w:val="0"/>
              <w:autoSpaceDN w:val="0"/>
              <w:adjustRightInd w:val="0"/>
              <w:spacing w:after="0" w:line="240" w:lineRule="auto"/>
              <w:rPr>
                <w:rFonts w:ascii="Arial" w:hAnsi="Arial" w:cs="Arial"/>
                <w:sz w:val="20"/>
                <w:szCs w:val="20"/>
              </w:rPr>
            </w:pPr>
          </w:p>
        </w:tc>
      </w:tr>
      <w:tr w:rsidR="007A072F" w:rsidRPr="007A072F">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Inflacja</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2,50%</w:t>
            </w:r>
          </w:p>
        </w:tc>
        <w:tc>
          <w:tcPr>
            <w:tcW w:w="5400" w:type="dxa"/>
            <w:gridSpan w:val="5"/>
            <w:vMerge/>
            <w:tcBorders>
              <w:top w:val="nil"/>
              <w:left w:val="nil"/>
              <w:bottom w:val="single" w:sz="4" w:space="0" w:color="auto"/>
              <w:right w:val="nil"/>
            </w:tcBorders>
            <w:tcMar>
              <w:left w:w="0" w:type="dxa"/>
            </w:tcMar>
          </w:tcPr>
          <w:p w:rsidR="007A072F" w:rsidRPr="007A072F" w:rsidRDefault="007A072F" w:rsidP="007A072F">
            <w:pPr>
              <w:widowControl w:val="0"/>
              <w:autoSpaceDE w:val="0"/>
              <w:autoSpaceDN w:val="0"/>
              <w:adjustRightInd w:val="0"/>
              <w:spacing w:after="0" w:line="240" w:lineRule="auto"/>
              <w:rPr>
                <w:rFonts w:ascii="Arial" w:hAnsi="Arial" w:cs="Arial"/>
                <w:sz w:val="20"/>
                <w:szCs w:val="20"/>
              </w:rPr>
            </w:pPr>
          </w:p>
        </w:tc>
      </w:tr>
      <w:tr w:rsidR="007A072F" w:rsidRPr="007A072F">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Wynagrodzenia</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3,10%</w:t>
            </w:r>
          </w:p>
        </w:tc>
        <w:tc>
          <w:tcPr>
            <w:tcW w:w="108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3,10%</w:t>
            </w:r>
          </w:p>
        </w:tc>
        <w:tc>
          <w:tcPr>
            <w:tcW w:w="5400" w:type="dxa"/>
            <w:gridSpan w:val="5"/>
            <w:vMerge/>
            <w:tcBorders>
              <w:top w:val="nil"/>
              <w:left w:val="nil"/>
              <w:bottom w:val="single" w:sz="4" w:space="0" w:color="auto"/>
              <w:right w:val="nil"/>
            </w:tcBorders>
            <w:tcMar>
              <w:left w:w="0" w:type="dxa"/>
            </w:tcMar>
          </w:tcPr>
          <w:p w:rsidR="007A072F" w:rsidRPr="007A072F" w:rsidRDefault="007A072F" w:rsidP="007A072F">
            <w:pPr>
              <w:widowControl w:val="0"/>
              <w:autoSpaceDE w:val="0"/>
              <w:autoSpaceDN w:val="0"/>
              <w:adjustRightInd w:val="0"/>
              <w:spacing w:after="0" w:line="240" w:lineRule="auto"/>
              <w:rPr>
                <w:rFonts w:ascii="Arial" w:hAnsi="Arial" w:cs="Arial"/>
                <w:sz w:val="20"/>
                <w:szCs w:val="20"/>
              </w:rPr>
            </w:pPr>
          </w:p>
        </w:tc>
      </w:tr>
    </w:tbl>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Źródło: Wytyczne dotyczące stosowania jednolitych wskaźników makroekonomicznych będących podstawą oszacowania skutków finansowych projektowanych ustaw. Aktualizacja – 28 października 2019 r., (www.mf.gov.pl), Warszawa 2019.</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Prognozę oparto o następujące założenia:</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1) dla roku 2020 przyjęto wartości wynikające z projektu budżetu;</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ab/>
        <w:t>2) dla lat 2021-2028 prognozę wykonano poprzez indeksację o wskaźniki dynamiki inflacji, dynamiki PKB oraz dynamiki realnej wynagrodzeń brutto.</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Podzielenie prognozy w powyższy sposób pozwala na realną ocenę możliwości inwestycyjno-kredytowych gminy.</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Zgodnie z przyjętym założeniem, dochody i wydatki bieżące w roku 2020 uwzględnione w WPF wynikają z wartości zawartych w projekcie budżetu na 2020 rok. Od 2021 roku dochody i wydatki bieżące ustalono za pomocą wskaźników inflacji, wskaźnika dynamiki PKB oraz wskaźnika dynamiki realnej wynagrodzeń brutto.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Sposób indeksacji za pomocą wag przedstawia poniższy wzór:</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0"/>
          <w:szCs w:val="20"/>
        </w:rPr>
      </w:pPr>
      <w:r>
        <w:rPr>
          <w:rFonts w:ascii="Calibri" w:hAnsi="Calibri" w:cs="Calibri"/>
          <w:noProof/>
          <w:sz w:val="20"/>
          <w:szCs w:val="20"/>
          <w:lang w:eastAsia="pl-PL"/>
        </w:rPr>
        <w:drawing>
          <wp:inline distT="0" distB="0" distL="0" distR="0">
            <wp:extent cx="4152900" cy="1524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52900" cy="152400"/>
                    </a:xfrm>
                    <a:prstGeom prst="rect">
                      <a:avLst/>
                    </a:prstGeom>
                    <a:noFill/>
                    <a:ln w="9525">
                      <a:noFill/>
                      <a:miter lim="800000"/>
                      <a:headEnd/>
                      <a:tailEnd/>
                    </a:ln>
                  </pic:spPr>
                </pic:pic>
              </a:graphicData>
            </a:graphic>
          </wp:inline>
        </w:drawing>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gdzie: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Pr>
          <w:rFonts w:ascii="Calibri" w:hAnsi="Calibri" w:cs="Calibri"/>
          <w:noProof/>
          <w:sz w:val="20"/>
          <w:szCs w:val="20"/>
          <w:lang w:eastAsia="pl-PL"/>
        </w:rPr>
        <w:drawing>
          <wp:inline distT="0" distB="0" distL="0" distR="0">
            <wp:extent cx="123825" cy="15240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wartość prognozowana danej kategorii dochodów bądź wydatków budżetowych;</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Pr>
          <w:rFonts w:ascii="Calibri" w:hAnsi="Calibri" w:cs="Calibri"/>
          <w:noProof/>
          <w:sz w:val="20"/>
          <w:szCs w:val="20"/>
          <w:lang w:eastAsia="pl-PL"/>
        </w:rPr>
        <w:drawing>
          <wp:inline distT="0" distB="0" distL="0" distR="0">
            <wp:extent cx="123825" cy="15240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wartość danej kategorii dochodów bądź wydatków budżetowych w roku poprzedzającym;</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Pr>
          <w:rFonts w:ascii="Calibri" w:hAnsi="Calibri" w:cs="Calibri"/>
          <w:noProof/>
          <w:sz w:val="20"/>
          <w:szCs w:val="20"/>
          <w:lang w:eastAsia="pl-PL"/>
        </w:rPr>
        <w:drawing>
          <wp:inline distT="0" distB="0" distL="0" distR="0">
            <wp:extent cx="238125" cy="15240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wartość wskaźnika inflacji w roku prognozowanym;</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Pr>
          <w:rFonts w:ascii="Calibri" w:hAnsi="Calibri" w:cs="Calibri"/>
          <w:noProof/>
          <w:sz w:val="20"/>
          <w:szCs w:val="20"/>
          <w:lang w:eastAsia="pl-PL"/>
        </w:rPr>
        <w:drawing>
          <wp:inline distT="0" distB="0" distL="0" distR="0">
            <wp:extent cx="266700" cy="152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waga przypisana wskaźnikowi CPI, będąca jego rzeczywistym wpływem na prognozowaną kategorię;</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Pr>
          <w:rFonts w:ascii="Calibri" w:hAnsi="Calibri" w:cs="Calibri"/>
          <w:noProof/>
          <w:sz w:val="20"/>
          <w:szCs w:val="20"/>
          <w:lang w:eastAsia="pl-PL"/>
        </w:rPr>
        <w:drawing>
          <wp:inline distT="0" distB="0" distL="0" distR="0">
            <wp:extent cx="295275" cy="152400"/>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95275"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wskaźnik dynamiki PKB;</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Pr>
          <w:rFonts w:ascii="Calibri" w:hAnsi="Calibri" w:cs="Calibri"/>
          <w:noProof/>
          <w:sz w:val="20"/>
          <w:szCs w:val="20"/>
          <w:lang w:eastAsia="pl-PL"/>
        </w:rPr>
        <w:drawing>
          <wp:inline distT="0" distB="0" distL="0" distR="0">
            <wp:extent cx="304800" cy="152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04800"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waga przypisana wskaźnikowi dynamiki PKB, będąca jego rzeczywistym wpływem na prognozowaną kategorię;</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Pr>
          <w:rFonts w:ascii="Calibri" w:hAnsi="Calibri" w:cs="Calibri"/>
          <w:noProof/>
          <w:sz w:val="20"/>
          <w:szCs w:val="20"/>
          <w:lang w:eastAsia="pl-PL"/>
        </w:rPr>
        <w:drawing>
          <wp:inline distT="0" distB="0" distL="0" distR="0">
            <wp:extent cx="228600" cy="1524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wskaźnik dynamiki realnej wynagrodzeń brutto w gospodarce narodowej;</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Pr>
          <w:rFonts w:ascii="Calibri" w:hAnsi="Calibri" w:cs="Calibri"/>
          <w:noProof/>
          <w:sz w:val="20"/>
          <w:szCs w:val="20"/>
          <w:lang w:eastAsia="pl-PL"/>
        </w:rPr>
        <w:drawing>
          <wp:inline distT="0" distB="0" distL="0" distR="0">
            <wp:extent cx="266700" cy="152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r w:rsidRPr="007A072F">
        <w:rPr>
          <w:rFonts w:ascii="Arial" w:hAnsi="Arial" w:cs="Arial"/>
          <w:sz w:val="20"/>
          <w:szCs w:val="20"/>
        </w:rPr>
        <w:t xml:space="preserve"> - waga przypisana wskaźnikowi dynamiki WB, będąca jego rzeczywistym wpływem na prognozowaną kategorię.</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2. Dochody</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 xml:space="preserve">Prognozy dochodów Gminy Boniewo dokonano w podziałach merytorycznych, a następnie </w:t>
      </w:r>
      <w:r w:rsidRPr="007A072F">
        <w:rPr>
          <w:rFonts w:ascii="Arial" w:hAnsi="Arial" w:cs="Arial"/>
          <w:sz w:val="20"/>
          <w:szCs w:val="20"/>
        </w:rPr>
        <w:lastRenderedPageBreak/>
        <w:t>sklasyfikowano w podziały wymagane ustawowo. Podział merytoryczny został sporządzony za pomocą paragrafów klasyfikacji budżetowej i objął dochody bieżące i majątkowe.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Dochody bieżące prognozowano w podziale na:</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1. dochody z tytułu udziału we wpływach z podatku dochodowego od osób fizycznych;</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2. dochody z tytułu udziału we wpływach z podatku dochodowego od osób prawnych;</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3. subwencję ogólną;</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4. dotacje i środki przeznaczone na cele bieżące;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ab/>
        <w:t>5. pozostałe dochody (m. in.: podatki i opłaty lokalne, grzywny i kary pieniężne, wpływy z usług, odsetki od środków na rachunkach bankowych), w tym: z podatku od nieruchomości.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Dochody majątkowe prognozowano w podziale na:</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1. dochody ze sprzedaży majątku;</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ab/>
        <w:t>2. dotacje i środki przeznaczone na inwestycje;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2.1 Dochody bieżące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Uwzględniając dotychczasowe kształtowanie się dochodów budżetu Gminy Boniewo oraz przewidywania na następne lata, w poszczególnych kategoriach dochodów bieżących posłużono się metodą indeksacji wartości bazowych o odpowiednio przypisany dla każdej kategorii budżetowej wskaźnik, za pomocą następujących wag:</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A072F">
        <w:rPr>
          <w:rFonts w:ascii="Arial" w:hAnsi="Arial" w:cs="Arial"/>
          <w:b/>
          <w:bCs/>
          <w:sz w:val="20"/>
          <w:szCs w:val="20"/>
        </w:rPr>
        <w:t>Tabela 2. Wagi dla danych makroekonomicznych przyjęte do wyliczeń prognozy dochodów bieżących</w:t>
      </w:r>
    </w:p>
    <w:tbl>
      <w:tblPr>
        <w:tblW w:w="0" w:type="auto"/>
        <w:tblInd w:w="10" w:type="dxa"/>
        <w:tblLayout w:type="fixed"/>
        <w:tblCellMar>
          <w:left w:w="10" w:type="dxa"/>
          <w:right w:w="10" w:type="dxa"/>
        </w:tblCellMar>
        <w:tblLook w:val="0000"/>
      </w:tblPr>
      <w:tblGrid>
        <w:gridCol w:w="2865"/>
        <w:gridCol w:w="2865"/>
      </w:tblGrid>
      <w:tr w:rsidR="007A072F" w:rsidRPr="007A072F">
        <w:tc>
          <w:tcPr>
            <w:tcW w:w="286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Wyszczególnienie</w:t>
            </w:r>
          </w:p>
        </w:tc>
        <w:tc>
          <w:tcPr>
            <w:tcW w:w="286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PKB</w:t>
            </w:r>
          </w:p>
        </w:tc>
      </w:tr>
      <w:tr w:rsidR="007A072F" w:rsidRPr="007A072F">
        <w:tc>
          <w:tcPr>
            <w:tcW w:w="286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dochody z udziału w PIT</w:t>
            </w:r>
          </w:p>
        </w:tc>
        <w:tc>
          <w:tcPr>
            <w:tcW w:w="286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w:t>
            </w:r>
          </w:p>
        </w:tc>
      </w:tr>
      <w:tr w:rsidR="007A072F" w:rsidRPr="007A072F">
        <w:tc>
          <w:tcPr>
            <w:tcW w:w="286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dochody z udziału w CIT</w:t>
            </w:r>
          </w:p>
        </w:tc>
        <w:tc>
          <w:tcPr>
            <w:tcW w:w="286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w:t>
            </w:r>
          </w:p>
        </w:tc>
      </w:tr>
      <w:tr w:rsidR="007A072F" w:rsidRPr="007A072F">
        <w:tc>
          <w:tcPr>
            <w:tcW w:w="286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subwencja ogólna</w:t>
            </w:r>
          </w:p>
        </w:tc>
        <w:tc>
          <w:tcPr>
            <w:tcW w:w="286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w:t>
            </w:r>
          </w:p>
        </w:tc>
      </w:tr>
      <w:tr w:rsidR="007A072F" w:rsidRPr="007A072F">
        <w:tc>
          <w:tcPr>
            <w:tcW w:w="286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dotacje bieżące</w:t>
            </w:r>
          </w:p>
        </w:tc>
        <w:tc>
          <w:tcPr>
            <w:tcW w:w="286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w:t>
            </w:r>
          </w:p>
        </w:tc>
      </w:tr>
      <w:tr w:rsidR="007A072F" w:rsidRPr="007A072F">
        <w:tc>
          <w:tcPr>
            <w:tcW w:w="286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z podatku od nieruchomości</w:t>
            </w:r>
          </w:p>
        </w:tc>
        <w:tc>
          <w:tcPr>
            <w:tcW w:w="286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w:t>
            </w:r>
          </w:p>
        </w:tc>
      </w:tr>
    </w:tbl>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Źródło: Opracowanie własne.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b/>
          <w:bCs/>
          <w:sz w:val="20"/>
          <w:szCs w:val="20"/>
        </w:rPr>
        <w:t>Podatek od nieruchomości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Stosownie do przepisów ustawy o podatkach i opłatach lokalnych wysokość stawek podatku od nieruchomości nie może przekroczyć górnych granic stawek kwotowych ogłoszonych przez Ministra Finansów, Inwestycji i Rozwoju. Wpływy z tytułu podatku od nieruchomości na 2020 rok zaplanowano w oparciu o założenia przyjęte na posiedzeniu Stałych Komisji Rady Gminy w dniu 4 listopada 2019 roku w sprawie określenia wysokości rocznych stawek podatku od nieruchomości na 2020 rok.</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b/>
          <w:bCs/>
          <w:sz w:val="20"/>
          <w:szCs w:val="20"/>
        </w:rPr>
        <w:t>Udział w podatkach centralnych</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 xml:space="preserve">Jako że ta grupa dochodów pozostaje w bardzo silnym związku z sytuacją makroekonomiczną kraju, przy szacowaniu dochodów z tytułu udziałów w podatku dochodowym od osób fizycznych (PIT) oraz od osób prawnych (CIT) w latach 2020-2028 wzięto pod uwagę założony wskaźnik </w:t>
      </w:r>
      <w:r w:rsidRPr="007A072F">
        <w:rPr>
          <w:rFonts w:ascii="Arial" w:hAnsi="Arial" w:cs="Arial"/>
          <w:sz w:val="20"/>
          <w:szCs w:val="20"/>
        </w:rPr>
        <w:lastRenderedPageBreak/>
        <w:t>PKB.</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b/>
          <w:bCs/>
          <w:sz w:val="20"/>
          <w:szCs w:val="20"/>
        </w:rPr>
        <w:t>Subwencje i dotacje na zadania bieżące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Planowaną kwotę subwencji ogólnej oraz dotacji celowych z budżetu państwa (innych niż środki na dofinansowanie realizacji projektów europejskich) na 2020 rok przyjęto w oparciu o informacje przekazane przez Ministra Finansów, Inwestycji i Rozwoju. W kolejnych latach prognozy założono wzrost kwoty otrzymywanych dotychczas cyklicznych subwencji i dotacji celowych z budżetu państwa w oparciu o prognozowany wskaźnik PKB.</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2.2 Dochody majątkowe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 2020 roku dochody ze sprzedaży majątku zaplanowano na poziomie 100 000,00 zł. Bazując na informacjach o wykonaniu dochodów majątkowych w poprzednich latach, należy stwierdzić, że zaplanowana kwota jest realna, ryzyko ich niewykonania jest minimalne, a sama sprzedaż mienia została zaplanowana przy dochowaniu najwyższej staranności.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Wartość zaplanowanych w 2020 roku dochodów ze sprzedaży ma zapewnić sprzedaż nieruchomości, których wykaz zaprezentowano w poniższej tabeli.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A072F">
        <w:rPr>
          <w:rFonts w:ascii="Arial" w:hAnsi="Arial" w:cs="Arial"/>
          <w:b/>
          <w:bCs/>
          <w:sz w:val="20"/>
          <w:szCs w:val="20"/>
        </w:rPr>
        <w:t>Tabela 3. Wykaz nieruchomości planowanych do sprzedaży w 2020 roku</w:t>
      </w:r>
    </w:p>
    <w:tbl>
      <w:tblPr>
        <w:tblW w:w="0" w:type="auto"/>
        <w:tblInd w:w="10" w:type="dxa"/>
        <w:tblLayout w:type="fixed"/>
        <w:tblCellMar>
          <w:left w:w="10" w:type="dxa"/>
          <w:right w:w="10" w:type="dxa"/>
        </w:tblCellMar>
        <w:tblLook w:val="0000"/>
      </w:tblPr>
      <w:tblGrid>
        <w:gridCol w:w="1725"/>
        <w:gridCol w:w="1725"/>
        <w:gridCol w:w="1725"/>
        <w:gridCol w:w="1725"/>
        <w:gridCol w:w="1725"/>
      </w:tblGrid>
      <w:tr w:rsidR="007A072F" w:rsidRPr="007A072F">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Położenie nieruchomości</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Nr działki i obręb</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Powierzchnia [ha]</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Wartość netto</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Planowany dochód</w:t>
            </w:r>
          </w:p>
        </w:tc>
      </w:tr>
      <w:tr w:rsidR="007A072F" w:rsidRPr="007A072F">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Osiecz Wielki</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103/3</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0,56 ha</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43.000 zł</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43.000 zł</w:t>
            </w:r>
          </w:p>
        </w:tc>
      </w:tr>
      <w:tr w:rsidR="007A072F" w:rsidRPr="007A072F">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Osiecz Mały</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136/1 lokal 94 m2</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26.000 zł</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26.000 zł</w:t>
            </w:r>
          </w:p>
        </w:tc>
      </w:tr>
      <w:tr w:rsidR="007A072F" w:rsidRPr="007A072F">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 xml:space="preserve">Osiecz Mały </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136/12 lokal</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0,0570 ha</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21.000 zł</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21.000 zł</w:t>
            </w:r>
          </w:p>
        </w:tc>
      </w:tr>
      <w:tr w:rsidR="007A072F" w:rsidRPr="007A072F">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Osiecz Wielki</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108</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0,34 ha</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 zł</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 zł</w:t>
            </w:r>
          </w:p>
        </w:tc>
      </w:tr>
      <w:tr w:rsidR="007A072F" w:rsidRPr="007A072F">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7A072F" w:rsidRPr="007A072F">
        <w:tc>
          <w:tcPr>
            <w:tcW w:w="6900" w:type="dxa"/>
            <w:gridSpan w:val="4"/>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b/>
                <w:bCs/>
                <w:sz w:val="20"/>
                <w:szCs w:val="20"/>
              </w:rPr>
              <w:t>Suma:</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100.000 zł</w:t>
            </w:r>
          </w:p>
        </w:tc>
      </w:tr>
    </w:tbl>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Źródło: Opracowanie własne.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3. Wydatki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Prognozy wydatków Gminy Boniewo dokonano w podziale na kategorie wydatków bieżących i wydatków majątkowych.</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3.1 Wydatki bieżące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Wydatki bieżące prognozowano w podziale na:</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1) wynagrodzenia i składki od nich naliczane;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2) wydatki na poręczenia i gwarancje;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3) wydatki związane z obsługą zadłużenia, w tym odsetki i dyskonto;</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ab/>
        <w:t>4) pozostałe wydatki bieżące.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 xml:space="preserve">Zgodnie z założeniami przyjętymi przy prognozie dochodów, dla wydatków bieżących w roku 2020 przyjęto projekt budżetu. W latach 2021-2028 dokonano indeksacji o wagi wskaźników inflacji i PKB. O ile w przypadku wydatków na wynagrodzenia, pochodnych od wynagrodzeń i pozostałych wydatków bieżących możliwość zastosowania indeksacji jest uzasadniona, o tyle wydatki związane z obsługą długu są ściśle uzależnione od postanowień zawartych w umowach </w:t>
      </w:r>
      <w:r w:rsidRPr="007A072F">
        <w:rPr>
          <w:rFonts w:ascii="Arial" w:hAnsi="Arial" w:cs="Arial"/>
          <w:sz w:val="20"/>
          <w:szCs w:val="20"/>
        </w:rPr>
        <w:lastRenderedPageBreak/>
        <w:t>kredytowych, pożyczkowych i emisji obligacji.</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A072F">
        <w:rPr>
          <w:rFonts w:ascii="Arial" w:hAnsi="Arial" w:cs="Arial"/>
          <w:b/>
          <w:bCs/>
          <w:sz w:val="20"/>
          <w:szCs w:val="20"/>
        </w:rPr>
        <w:t>Tabela 4. Wagi dla danych makroekonomicznych przyjęte do wyliczeń prognozy wydatków bieżących</w:t>
      </w:r>
    </w:p>
    <w:tbl>
      <w:tblPr>
        <w:tblW w:w="0" w:type="auto"/>
        <w:tblInd w:w="10" w:type="dxa"/>
        <w:tblLayout w:type="fixed"/>
        <w:tblCellMar>
          <w:left w:w="10" w:type="dxa"/>
          <w:right w:w="10" w:type="dxa"/>
        </w:tblCellMar>
        <w:tblLook w:val="0000"/>
      </w:tblPr>
      <w:tblGrid>
        <w:gridCol w:w="2145"/>
        <w:gridCol w:w="2145"/>
      </w:tblGrid>
      <w:tr w:rsidR="007A072F" w:rsidRPr="007A072F">
        <w:tc>
          <w:tcPr>
            <w:tcW w:w="214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Wyszczególnienie</w:t>
            </w:r>
          </w:p>
        </w:tc>
        <w:tc>
          <w:tcPr>
            <w:tcW w:w="214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sz w:val="20"/>
                <w:szCs w:val="20"/>
              </w:rPr>
              <w:t>INF</w:t>
            </w:r>
          </w:p>
        </w:tc>
      </w:tr>
      <w:tr w:rsidR="007A072F" w:rsidRPr="007A072F">
        <w:tc>
          <w:tcPr>
            <w:tcW w:w="214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wynagrodzenia i pochodne</w:t>
            </w:r>
          </w:p>
        </w:tc>
        <w:tc>
          <w:tcPr>
            <w:tcW w:w="214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w:t>
            </w:r>
          </w:p>
        </w:tc>
      </w:tr>
      <w:tr w:rsidR="007A072F" w:rsidRPr="007A072F">
        <w:tc>
          <w:tcPr>
            <w:tcW w:w="214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sz w:val="20"/>
                <w:szCs w:val="20"/>
              </w:rPr>
              <w:t>inne</w:t>
            </w:r>
          </w:p>
        </w:tc>
        <w:tc>
          <w:tcPr>
            <w:tcW w:w="214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100,00%</w:t>
            </w:r>
          </w:p>
        </w:tc>
      </w:tr>
    </w:tbl>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Źródło: Opracowanie własne.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3.2 Wydatki majątkowe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Wydatki majątkowe obejmują przede wszystkim przedsięwzięcia inwestycyjne, które ujęto w załączniku nr 2 do Wieloletniej Prognozy Finansowej Gminy Boniewo na lata 2020-2024. W kolejnych latach wydatki majątkowe zostały zaplanowane tak, aby pokryły pozostałą po spłacie zobowiązań część tzw. wolnych środków.</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Oprócz przedsięwzięć przewidzianych w WPF zaplanowano niezbędne wydatki, takie jak: dotacje celowe dla JST wynikające z ustawy o ochronie gruntów rolnych i leśnych, wydatki na pozyskanie gruntów pod inwestycje drogowe itp.</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4. Wynik budżetu</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 242 (brak deficytu bieżącego). Ponadto wynik finansowy budżetu został sprowadzony do 0 w całym badanym okresie.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A072F">
        <w:rPr>
          <w:rFonts w:ascii="Arial" w:hAnsi="Arial" w:cs="Arial"/>
          <w:b/>
          <w:bCs/>
          <w:sz w:val="20"/>
          <w:szCs w:val="20"/>
        </w:rPr>
        <w:t>Tabela 5. Wynik budżetu Gminy Boniewo</w:t>
      </w:r>
    </w:p>
    <w:tbl>
      <w:tblPr>
        <w:tblW w:w="0" w:type="auto"/>
        <w:tblInd w:w="10" w:type="dxa"/>
        <w:tblLayout w:type="fixed"/>
        <w:tblCellMar>
          <w:left w:w="10" w:type="dxa"/>
          <w:right w:w="10" w:type="dxa"/>
        </w:tblCellMar>
        <w:tblLook w:val="0000"/>
      </w:tblPr>
      <w:tblGrid>
        <w:gridCol w:w="1725"/>
        <w:gridCol w:w="1725"/>
        <w:gridCol w:w="1725"/>
        <w:gridCol w:w="1725"/>
        <w:gridCol w:w="1725"/>
      </w:tblGrid>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2020</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2021</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2022</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2023</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Dochody</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18 981 111,00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17 986 561,00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17 544 951,00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18 088 845,00</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Wydatki</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18 209 115,00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17 157 787,62</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16 753 275,00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17 329 249,22</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Wynik budżetu</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771 996,00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828 773,38</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791 676,00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759 595,78</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2024</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2025</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2026</w:t>
            </w: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2027</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Dochody</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18 631 510,00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19 190 457,00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19 766 170,00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20 339 389,00</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Wydatki</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17 879 310,00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18 467 439,00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19 381 170,00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19 954 389,00</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Wynik budżetu</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752 200,00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723 018,00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385 000,00</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385 000,00</w:t>
            </w: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2028</w:t>
            </w:r>
          </w:p>
        </w:tc>
        <w:tc>
          <w:tcPr>
            <w:tcW w:w="5175" w:type="dxa"/>
            <w:gridSpan w:val="3"/>
            <w:vMerge w:val="restart"/>
            <w:tcBorders>
              <w:top w:val="single" w:sz="4" w:space="0" w:color="auto"/>
              <w:left w:val="single" w:sz="4" w:space="0" w:color="auto"/>
              <w:bottom w:val="nil"/>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Dochody</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20 908 892,00</w:t>
            </w:r>
          </w:p>
        </w:tc>
        <w:tc>
          <w:tcPr>
            <w:tcW w:w="5175" w:type="dxa"/>
            <w:gridSpan w:val="3"/>
            <w:vMerge/>
            <w:tcBorders>
              <w:top w:val="nil"/>
              <w:left w:val="single" w:sz="4" w:space="0" w:color="auto"/>
              <w:bottom w:val="single" w:sz="4" w:space="0" w:color="auto"/>
              <w:right w:val="single" w:sz="4" w:space="0" w:color="auto"/>
            </w:tcBorders>
          </w:tcPr>
          <w:p w:rsidR="007A072F" w:rsidRPr="007A072F" w:rsidRDefault="007A072F" w:rsidP="007A072F">
            <w:pPr>
              <w:widowControl w:val="0"/>
              <w:autoSpaceDE w:val="0"/>
              <w:autoSpaceDN w:val="0"/>
              <w:adjustRightInd w:val="0"/>
              <w:spacing w:after="0" w:line="240" w:lineRule="auto"/>
              <w:rPr>
                <w:rFonts w:ascii="Arial" w:hAnsi="Arial" w:cs="Arial"/>
                <w:sz w:val="20"/>
                <w:szCs w:val="20"/>
              </w:rPr>
            </w:pP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Wydatki</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20 816 372,29</w:t>
            </w:r>
          </w:p>
        </w:tc>
        <w:tc>
          <w:tcPr>
            <w:tcW w:w="5175" w:type="dxa"/>
            <w:gridSpan w:val="3"/>
            <w:vMerge/>
            <w:tcBorders>
              <w:top w:val="nil"/>
              <w:left w:val="single" w:sz="4" w:space="0" w:color="auto"/>
              <w:bottom w:val="single" w:sz="4" w:space="0" w:color="auto"/>
              <w:right w:val="single" w:sz="4" w:space="0" w:color="auto"/>
            </w:tcBorders>
          </w:tcPr>
          <w:p w:rsidR="007A072F" w:rsidRPr="007A072F" w:rsidRDefault="007A072F" w:rsidP="007A072F">
            <w:pPr>
              <w:widowControl w:val="0"/>
              <w:autoSpaceDE w:val="0"/>
              <w:autoSpaceDN w:val="0"/>
              <w:adjustRightInd w:val="0"/>
              <w:spacing w:after="0" w:line="240" w:lineRule="auto"/>
              <w:rPr>
                <w:rFonts w:ascii="Arial" w:hAnsi="Arial" w:cs="Arial"/>
                <w:sz w:val="20"/>
                <w:szCs w:val="20"/>
              </w:rPr>
            </w:pPr>
          </w:p>
        </w:tc>
      </w:tr>
      <w:tr w:rsidR="007A072F" w:rsidRPr="007A072F">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Wynik budżetu</w:t>
            </w:r>
          </w:p>
        </w:tc>
        <w:tc>
          <w:tcPr>
            <w:tcW w:w="1725"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92 519,71</w:t>
            </w:r>
          </w:p>
        </w:tc>
        <w:tc>
          <w:tcPr>
            <w:tcW w:w="5175" w:type="dxa"/>
            <w:gridSpan w:val="3"/>
            <w:vMerge/>
            <w:tcBorders>
              <w:top w:val="nil"/>
              <w:left w:val="single" w:sz="4" w:space="0" w:color="auto"/>
              <w:bottom w:val="nil"/>
              <w:right w:val="single" w:sz="4" w:space="0" w:color="auto"/>
            </w:tcBorders>
            <w:vAlign w:val="center"/>
          </w:tcPr>
          <w:p w:rsidR="007A072F" w:rsidRPr="007A072F" w:rsidRDefault="007A072F" w:rsidP="007A072F">
            <w:pPr>
              <w:widowControl w:val="0"/>
              <w:autoSpaceDE w:val="0"/>
              <w:autoSpaceDN w:val="0"/>
              <w:adjustRightInd w:val="0"/>
              <w:spacing w:after="0" w:line="240" w:lineRule="auto"/>
              <w:rPr>
                <w:rFonts w:ascii="Arial" w:hAnsi="Arial" w:cs="Arial"/>
                <w:sz w:val="20"/>
                <w:szCs w:val="20"/>
              </w:rPr>
            </w:pPr>
          </w:p>
        </w:tc>
      </w:tr>
    </w:tbl>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Źródło: Opracowanie własne.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5. Przychody</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W okresie objętym prognozą nie planuje się zaciągnięcia nowego zobowiązania.</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t>6. Rozchody</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Na dzień 1.01.2020 kwota zadłużenia, wpływająca na kształtowanie się wskaźnika faktycznej obsługi zadłużenia, wynikająca z zaciągniętych kredytów, pożyczek i wyemitowanych obligacji wynosi 5 489 778,87 zł, a jego spłata planowana jest do roku 2028.</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b/>
          <w:bCs/>
          <w:sz w:val="20"/>
          <w:szCs w:val="20"/>
        </w:rPr>
        <w:lastRenderedPageBreak/>
        <w:t>7. Relacja z art. 243 ustawy o finansach publicznych</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Zgodnie z art. 243 ust. 1 ustawy z dnia 27 sierpnia 2009 r. o finansach publicznych (</w:t>
      </w:r>
      <w:proofErr w:type="spellStart"/>
      <w:r w:rsidRPr="007A072F">
        <w:rPr>
          <w:rFonts w:ascii="Arial" w:hAnsi="Arial" w:cs="Arial"/>
          <w:sz w:val="20"/>
          <w:szCs w:val="20"/>
        </w:rPr>
        <w:t>t.j</w:t>
      </w:r>
      <w:proofErr w:type="spellEnd"/>
      <w:r w:rsidRPr="007A072F">
        <w:rPr>
          <w:rFonts w:ascii="Arial" w:hAnsi="Arial" w:cs="Arial"/>
          <w:sz w:val="20"/>
          <w:szCs w:val="20"/>
        </w:rPr>
        <w:t>. Dz. U. z 2019 r. poz. 869 z </w:t>
      </w:r>
      <w:proofErr w:type="spellStart"/>
      <w:r w:rsidRPr="007A072F">
        <w:rPr>
          <w:rFonts w:ascii="Arial" w:hAnsi="Arial" w:cs="Arial"/>
          <w:sz w:val="20"/>
          <w:szCs w:val="20"/>
        </w:rPr>
        <w:t>późn</w:t>
      </w:r>
      <w:proofErr w:type="spellEnd"/>
      <w:r w:rsidRPr="007A072F">
        <w:rPr>
          <w:rFonts w:ascii="Arial" w:hAnsi="Arial" w:cs="Arial"/>
          <w:sz w:val="20"/>
          <w:szCs w:val="20"/>
        </w:rPr>
        <w:t>. zm.) od 1 stycznia 2014 r. obowiązuje indywidualny wskaźnik zadłużenia dla samorządów. Według przepisów roczna wartość spłat zobowiązań i ich obsługi do planowanych dochodów bieżących pomniejszonych o dotacje i środki przeznaczone na cele bieżące nie może przekroczyć wskaźnika maksymalnej obsługi zadłużenia uwzględniającego wyłączenia wskazane w art. 243 ust. 3, 3a oraz 3b powyższej ustawy.</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Od 1 stycznia 2020 r. wskaźnik faktycznej obsługi zadłużenia został uzupełniony o umowy, które wywołują skutki ekonomiczne podobne do kredytu, pożyczki, depozytu czy emisji papierów wartościowych (zaciągnięte po 1 stycznia 2019 roku). Włączenie do wskaźnika obsługi zadłużenia ww. umów dotyczy zarówno spłaty rat, jak również wydatków bieżących na ich obsługę (odsetki, prowizje, opłaty).</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Kształt indywidualnego wskaźnika obsługi zadłużenia został obliczony zgodnie z wytycznymi dla okresów dostosowawczych, tj.:</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Arial" w:hAnsi="Arial" w:cs="Arial"/>
          <w:sz w:val="20"/>
          <w:szCs w:val="20"/>
        </w:rPr>
      </w:pPr>
      <w:r w:rsidRPr="007A072F">
        <w:rPr>
          <w:rFonts w:ascii="Arial" w:hAnsi="Arial" w:cs="Arial"/>
          <w:sz w:val="20"/>
          <w:szCs w:val="20"/>
        </w:rPr>
        <w:tab/>
        <w:t>1. na lata 2020-2025 w oparciu o art. 9 ust. 1 ustawy z dnia 14 grudnia 2018 r. o zmianie ustawy o finansach publicznych oraz niektórych innych ustaw;</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ab/>
        <w:t>2. od roku 2026 w oparciu o art. 9 ust. 2 ustawy z dnia 14 grudnia 2018 r. o zmianie ustawy o finansach publicznych oraz niektórych innych ustaw.</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rPr>
      </w:pPr>
      <w:r w:rsidRPr="007A072F">
        <w:rPr>
          <w:rFonts w:ascii="Arial" w:hAnsi="Arial" w:cs="Arial"/>
          <w:b/>
          <w:bCs/>
          <w:sz w:val="20"/>
          <w:szCs w:val="20"/>
        </w:rPr>
        <w:t xml:space="preserve">Tabela 6. Kształtowanie się relacji z art. 243 </w:t>
      </w:r>
      <w:proofErr w:type="spellStart"/>
      <w:r w:rsidRPr="007A072F">
        <w:rPr>
          <w:rFonts w:ascii="Arial" w:hAnsi="Arial" w:cs="Arial"/>
          <w:b/>
          <w:bCs/>
          <w:sz w:val="20"/>
          <w:szCs w:val="20"/>
        </w:rPr>
        <w:t>uofp</w:t>
      </w:r>
      <w:proofErr w:type="spellEnd"/>
    </w:p>
    <w:tbl>
      <w:tblPr>
        <w:tblW w:w="0" w:type="auto"/>
        <w:tblInd w:w="10" w:type="dxa"/>
        <w:tblLayout w:type="fixed"/>
        <w:tblCellMar>
          <w:left w:w="10" w:type="dxa"/>
          <w:right w:w="10" w:type="dxa"/>
        </w:tblCellMar>
        <w:tblLook w:val="0000"/>
      </w:tblPr>
      <w:tblGrid>
        <w:gridCol w:w="2190"/>
        <w:gridCol w:w="1440"/>
        <w:gridCol w:w="1440"/>
        <w:gridCol w:w="1440"/>
        <w:gridCol w:w="1440"/>
        <w:gridCol w:w="1440"/>
      </w:tblGrid>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2020</w:t>
            </w: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2021</w:t>
            </w: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2022</w:t>
            </w: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2023</w:t>
            </w: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2024</w:t>
            </w: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Obsługa zadłużenia (fakt. i plan. po wyłączeniach)</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8,71%</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8,85%</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8,14%</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7,88%</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7,33%</w:t>
            </w: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Maksymalna obsługa zadłużenia (wg planu po III kwartale 2019)</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19,18%</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17,73%</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18,01%</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19,63%</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20,58%</w:t>
            </w: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Maksymalna obsługa zadłużenia (wg przewidywanego wykonania 2019)</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19,18%</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17,73%</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18,01%</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19,63%</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20,58%</w:t>
            </w: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Zachowanie relacji z art. 243 (w oparciu o przewidywane wykonanie)</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2025</w:t>
            </w: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2026</w:t>
            </w: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2027</w:t>
            </w:r>
          </w:p>
        </w:tc>
        <w:tc>
          <w:tcPr>
            <w:tcW w:w="1440" w:type="dxa"/>
            <w:tcBorders>
              <w:top w:val="single" w:sz="4" w:space="0" w:color="auto"/>
              <w:left w:val="single" w:sz="4" w:space="0" w:color="auto"/>
              <w:bottom w:val="single" w:sz="4" w:space="0" w:color="auto"/>
              <w:right w:val="single" w:sz="4" w:space="0" w:color="auto"/>
            </w:tcBorders>
            <w:vAlign w:val="bottom"/>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7A072F">
              <w:rPr>
                <w:rFonts w:ascii="Arial" w:hAnsi="Arial" w:cs="Arial"/>
                <w:b/>
                <w:bCs/>
                <w:sz w:val="20"/>
                <w:szCs w:val="20"/>
              </w:rPr>
              <w:t>2028</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Obsługa zadłużenia (fakt. i plan. po wyłączeniach)</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6,55%</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3,45%</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3,13%</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0,73%</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Maksymalna obsługa zadłużenia (wg planu po III kwartale 2019)</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21,17%</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21,07%</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22,21%</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23,08%</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Maksymalna obsługa zadłużenia (wg przewidywanego wykonania 2019)</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21,17%</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21,07%</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22,21%</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23,08%</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r w:rsidR="007A072F" w:rsidRPr="007A072F">
        <w:tc>
          <w:tcPr>
            <w:tcW w:w="219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7A072F">
              <w:rPr>
                <w:rFonts w:ascii="Arial" w:hAnsi="Arial" w:cs="Arial"/>
                <w:b/>
                <w:bCs/>
                <w:sz w:val="20"/>
                <w:szCs w:val="20"/>
              </w:rPr>
              <w:t>Zachowanie relacji z art. 243 (w oparciu o przewidywane wykonanie)</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r w:rsidRPr="007A072F">
              <w:rPr>
                <w:rFonts w:ascii="Arial" w:hAnsi="Arial" w:cs="Arial"/>
                <w:sz w:val="20"/>
                <w:szCs w:val="20"/>
              </w:rPr>
              <w:t>Tak</w:t>
            </w:r>
          </w:p>
        </w:tc>
        <w:tc>
          <w:tcPr>
            <w:tcW w:w="1440" w:type="dxa"/>
            <w:tcBorders>
              <w:top w:val="single" w:sz="4" w:space="0" w:color="auto"/>
              <w:left w:val="single" w:sz="4" w:space="0" w:color="auto"/>
              <w:bottom w:val="single" w:sz="4" w:space="0" w:color="auto"/>
              <w:right w:val="single" w:sz="4" w:space="0" w:color="auto"/>
            </w:tcBorders>
          </w:tcPr>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w:hAnsi="Arial" w:cs="Arial"/>
                <w:sz w:val="20"/>
                <w:szCs w:val="20"/>
              </w:rPr>
            </w:pPr>
          </w:p>
        </w:tc>
      </w:tr>
    </w:tbl>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Źródło: Opracowanie własne</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Arial" w:hAnsi="Arial" w:cs="Arial"/>
          <w:sz w:val="20"/>
          <w:szCs w:val="20"/>
        </w:rPr>
      </w:pPr>
      <w:r w:rsidRPr="007A072F">
        <w:rPr>
          <w:rFonts w:ascii="Arial" w:hAnsi="Arial" w:cs="Arial"/>
          <w:sz w:val="20"/>
          <w:szCs w:val="20"/>
        </w:rPr>
        <w:t>Graficzne przedstawienie relacji prezentuje wykres poniżej.</w:t>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rPr>
          <w:rFonts w:ascii="Arial" w:hAnsi="Arial" w:cs="Arial"/>
          <w:sz w:val="20"/>
          <w:szCs w:val="20"/>
        </w:rPr>
      </w:pPr>
      <w:r>
        <w:rPr>
          <w:rFonts w:ascii="Calibri" w:hAnsi="Calibri" w:cs="Calibri"/>
          <w:noProof/>
          <w:sz w:val="20"/>
          <w:szCs w:val="20"/>
          <w:lang w:eastAsia="pl-PL"/>
        </w:rPr>
        <w:drawing>
          <wp:inline distT="0" distB="0" distL="0" distR="0">
            <wp:extent cx="5667375" cy="4352925"/>
            <wp:effectExtent l="1905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667375" cy="4352925"/>
                    </a:xfrm>
                    <a:prstGeom prst="rect">
                      <a:avLst/>
                    </a:prstGeom>
                    <a:noFill/>
                    <a:ln w="9525">
                      <a:noFill/>
                      <a:miter lim="800000"/>
                      <a:headEnd/>
                      <a:tailEnd/>
                    </a:ln>
                  </pic:spPr>
                </pic:pic>
              </a:graphicData>
            </a:graphic>
          </wp:inline>
        </w:drawing>
      </w:r>
    </w:p>
    <w:p w:rsidR="007A072F" w:rsidRPr="007A072F" w:rsidRDefault="007A072F" w:rsidP="007A07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Arial" w:hAnsi="Arial" w:cs="Arial"/>
          <w:sz w:val="20"/>
          <w:szCs w:val="20"/>
        </w:rPr>
      </w:pPr>
    </w:p>
    <w:p w:rsidR="00CE4628" w:rsidRDefault="00CE4628"/>
    <w:sectPr w:rsidR="00CE4628" w:rsidSect="006E1037">
      <w:pgSz w:w="12240" w:h="15840"/>
      <w:pgMar w:top="1440" w:right="1800" w:bottom="1440" w:left="1800"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072F"/>
    <w:rsid w:val="007A072F"/>
    <w:rsid w:val="00CE46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6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0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12949</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Woźniak</dc:creator>
  <cp:lastModifiedBy>Aleksandra Woźniak</cp:lastModifiedBy>
  <cp:revision>2</cp:revision>
  <dcterms:created xsi:type="dcterms:W3CDTF">2019-11-14T14:40:00Z</dcterms:created>
  <dcterms:modified xsi:type="dcterms:W3CDTF">2019-11-14T14:40:00Z</dcterms:modified>
</cp:coreProperties>
</file>