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305">
      <w:pPr>
        <w:pStyle w:val="Tekstpodstawowy"/>
        <w:jc w:val="right"/>
      </w:pPr>
      <w:r>
        <w:rPr>
          <w:rFonts w:ascii="Arial" w:hAnsi="Arial" w:cs="Arial"/>
          <w:sz w:val="22"/>
        </w:rPr>
        <w:t>Boniewo, dnia 11.06.2019 r.</w:t>
      </w:r>
    </w:p>
    <w:p w:rsidR="00000000" w:rsidRDefault="00E16305">
      <w:pPr>
        <w:pStyle w:val="Tekstpodstawowy"/>
        <w:ind w:left="720"/>
        <w:jc w:val="both"/>
        <w:rPr>
          <w:rFonts w:ascii="Arial" w:hAnsi="Arial" w:cs="Arial"/>
          <w:sz w:val="22"/>
        </w:rPr>
      </w:pPr>
    </w:p>
    <w:p w:rsidR="00000000" w:rsidRDefault="00E16305">
      <w:pPr>
        <w:pStyle w:val="Tekstpodstawowy"/>
        <w:rPr>
          <w:rFonts w:ascii="Arial" w:hAnsi="Arial" w:cs="Arial"/>
          <w:sz w:val="22"/>
        </w:rPr>
      </w:pPr>
    </w:p>
    <w:p w:rsidR="00000000" w:rsidRDefault="00E16305">
      <w:pPr>
        <w:pStyle w:val="Tekstpodstawowy"/>
      </w:pPr>
      <w:r>
        <w:rPr>
          <w:rFonts w:ascii="Arial" w:hAnsi="Arial" w:cs="Arial"/>
          <w:sz w:val="22"/>
        </w:rPr>
        <w:t>TIiRG.6730 - 11/2019</w:t>
      </w:r>
    </w:p>
    <w:p w:rsidR="00000000" w:rsidRDefault="00E16305">
      <w:pPr>
        <w:pStyle w:val="Tekstpodstawowy"/>
        <w:rPr>
          <w:rFonts w:ascii="Arial" w:hAnsi="Arial" w:cs="Arial"/>
          <w:sz w:val="22"/>
        </w:rPr>
      </w:pPr>
    </w:p>
    <w:p w:rsidR="00000000" w:rsidRDefault="00E16305">
      <w:pPr>
        <w:pStyle w:val="Nagwek5"/>
      </w:pPr>
      <w:r>
        <w:rPr>
          <w:rFonts w:ascii="Arial" w:hAnsi="Arial" w:cs="Arial"/>
          <w:color w:val="000000"/>
        </w:rPr>
        <w:t xml:space="preserve">DECYZJA </w:t>
      </w:r>
    </w:p>
    <w:p w:rsidR="00000000" w:rsidRDefault="00E16305">
      <w:pPr>
        <w:jc w:val="center"/>
      </w:pPr>
      <w:r>
        <w:rPr>
          <w:rFonts w:ascii="Arial" w:hAnsi="Arial" w:cs="Arial"/>
          <w:b/>
          <w:color w:val="000000"/>
        </w:rPr>
        <w:t>o warunkach zabudowy</w:t>
      </w:r>
    </w:p>
    <w:p w:rsidR="00000000" w:rsidRDefault="00E16305">
      <w:pPr>
        <w:pStyle w:val="WW-Tekstpodstawowy2"/>
        <w:ind w:firstLine="426"/>
      </w:pPr>
      <w:r>
        <w:rPr>
          <w:rFonts w:ascii="Arial" w:hAnsi="Arial" w:cs="Arial"/>
          <w:sz w:val="22"/>
        </w:rPr>
        <w:t>Na podstawie art. 104 ustawy z dnia 14 czerwca 1960 r. Kodeks postępowania administracyjnego (tekst jednolity Dz. U. z 2018 r., poz. 2069 ) art. 4 ust 2, art. 59 ust. 1, art.</w:t>
      </w:r>
      <w:r>
        <w:rPr>
          <w:rFonts w:ascii="Arial" w:hAnsi="Arial" w:cs="Arial"/>
          <w:sz w:val="22"/>
        </w:rPr>
        <w:t xml:space="preserve"> 60, art. 61 ust. 1 i art. 64 ust.1 ustawy z dnia 27 marca 2003 r. o planowaniu i zagospodarowaniu przestrzennym </w:t>
      </w:r>
      <w:r>
        <w:rPr>
          <w:rFonts w:ascii="Arial" w:hAnsi="Arial" w:cs="Arial"/>
          <w:spacing w:val="-4"/>
          <w:sz w:val="22"/>
          <w:szCs w:val="22"/>
        </w:rPr>
        <w:t>(j.t. Dz.U.2018 poz. 1945)</w:t>
      </w:r>
      <w:r>
        <w:rPr>
          <w:b/>
          <w:spacing w:val="-4"/>
          <w:sz w:val="20"/>
        </w:rPr>
        <w:t xml:space="preserve"> </w:t>
      </w:r>
    </w:p>
    <w:p w:rsidR="00000000" w:rsidRDefault="00E16305">
      <w:pPr>
        <w:pStyle w:val="WW-Tekstpodstawowy3"/>
        <w:rPr>
          <w:rFonts w:ascii="Arial" w:hAnsi="Arial" w:cs="Arial"/>
          <w:color w:val="000000"/>
          <w:sz w:val="22"/>
        </w:rPr>
      </w:pPr>
    </w:p>
    <w:p w:rsidR="00000000" w:rsidRDefault="00E16305">
      <w:pPr>
        <w:pStyle w:val="WW-Tekstpodstawowy3"/>
        <w:ind w:firstLine="284"/>
      </w:pPr>
      <w:r>
        <w:rPr>
          <w:rFonts w:ascii="Arial" w:hAnsi="Arial" w:cs="Arial"/>
          <w:sz w:val="22"/>
        </w:rPr>
        <w:t xml:space="preserve">po rozpatrzeniu wniosku Pani </w:t>
      </w:r>
      <w:r w:rsidR="009D72BF">
        <w:rPr>
          <w:rFonts w:ascii="Arial" w:hAnsi="Arial" w:cs="Arial"/>
          <w:sz w:val="22"/>
        </w:rPr>
        <w:t>……………………………………….</w:t>
      </w:r>
      <w:r>
        <w:rPr>
          <w:rFonts w:ascii="Arial" w:hAnsi="Arial" w:cs="Arial"/>
          <w:sz w:val="22"/>
        </w:rPr>
        <w:t xml:space="preserve"> z dnia 10.05.2019 r., do</w:t>
      </w:r>
      <w:r>
        <w:rPr>
          <w:rFonts w:ascii="Arial" w:hAnsi="Arial" w:cs="Arial"/>
          <w:sz w:val="22"/>
        </w:rPr>
        <w:t xml:space="preserve">tyczącego wydania decyzji o warunkach zabudowy dla inwestycji pod </w:t>
      </w:r>
      <w:r>
        <w:rPr>
          <w:rFonts w:ascii="Arial" w:hAnsi="Arial" w:cs="Arial"/>
          <w:sz w:val="22"/>
          <w:szCs w:val="22"/>
        </w:rPr>
        <w:t>nazwą “budowa budynku rekreacji indywidualnej i szamba szczelnego na działce nr 67/6, obręb Łączewna, gmina Boniewo”</w:t>
      </w:r>
    </w:p>
    <w:p w:rsidR="00000000" w:rsidRDefault="00E16305">
      <w:pPr>
        <w:pStyle w:val="WW-Tekstpodstawowy3"/>
        <w:ind w:firstLine="284"/>
        <w:rPr>
          <w:rFonts w:ascii="Arial" w:hAnsi="Arial" w:cs="Arial"/>
          <w:sz w:val="20"/>
        </w:rPr>
      </w:pPr>
    </w:p>
    <w:p w:rsidR="00000000" w:rsidRDefault="00E16305">
      <w:pPr>
        <w:spacing w:after="0" w:line="360" w:lineRule="auto"/>
        <w:jc w:val="center"/>
      </w:pPr>
      <w:r>
        <w:rPr>
          <w:rFonts w:ascii="Arial" w:hAnsi="Arial" w:cs="Arial"/>
          <w:b/>
        </w:rPr>
        <w:t>u s t a l a m</w:t>
      </w:r>
    </w:p>
    <w:p w:rsidR="00000000" w:rsidRDefault="00E16305">
      <w:pPr>
        <w:pStyle w:val="Nagwek4"/>
        <w:spacing w:line="360" w:lineRule="auto"/>
      </w:pPr>
      <w:r>
        <w:rPr>
          <w:rFonts w:ascii="Arial" w:hAnsi="Arial" w:cs="Arial"/>
          <w:b w:val="0"/>
          <w:sz w:val="22"/>
        </w:rPr>
        <w:t xml:space="preserve">DLA </w:t>
      </w:r>
      <w:r w:rsidR="009D72BF">
        <w:rPr>
          <w:rFonts w:ascii="Arial" w:hAnsi="Arial" w:cs="Arial"/>
          <w:b w:val="0"/>
          <w:sz w:val="22"/>
        </w:rPr>
        <w:t>………………………………..</w:t>
      </w:r>
    </w:p>
    <w:p w:rsidR="00000000" w:rsidRDefault="00E16305">
      <w:pPr>
        <w:pStyle w:val="Nagwek4"/>
        <w:spacing w:line="360" w:lineRule="auto"/>
      </w:pPr>
      <w:r>
        <w:rPr>
          <w:rFonts w:ascii="Arial" w:hAnsi="Arial" w:cs="Arial"/>
          <w:sz w:val="22"/>
        </w:rPr>
        <w:t>WARUNKI ZABUDOWY</w:t>
      </w:r>
    </w:p>
    <w:p w:rsidR="00000000" w:rsidRDefault="00E16305">
      <w:pPr>
        <w:pStyle w:val="Nagwek3"/>
      </w:pPr>
      <w:r>
        <w:rPr>
          <w:rFonts w:ascii="Arial" w:hAnsi="Arial" w:cs="Arial"/>
          <w:b w:val="0"/>
          <w:sz w:val="22"/>
          <w:u w:val="single"/>
        </w:rPr>
        <w:t>DLA INWESTYCJI</w:t>
      </w:r>
      <w:r>
        <w:rPr>
          <w:rFonts w:ascii="Arial" w:hAnsi="Arial" w:cs="Arial"/>
          <w:b w:val="0"/>
          <w:sz w:val="22"/>
          <w:u w:val="single"/>
        </w:rPr>
        <w:t xml:space="preserve"> POD NAZWĄ</w:t>
      </w:r>
    </w:p>
    <w:p w:rsidR="00000000" w:rsidRDefault="00E16305">
      <w:pPr>
        <w:pStyle w:val="Indeks"/>
        <w:jc w:val="center"/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BUDOWA BUDYNKU REKREACJI INDYWIDUALNEJ I SZAMBA SZCZELNEGO NA DZIAŁCE NR 67/6, OBRĘB ŁĄCZEWNA, GMINA BONIEWO”</w:t>
      </w:r>
    </w:p>
    <w:p w:rsidR="00000000" w:rsidRDefault="00E16305">
      <w:pPr>
        <w:pStyle w:val="Indeks"/>
        <w:jc w:val="center"/>
        <w:rPr>
          <w:rFonts w:ascii="Arial" w:hAnsi="Arial" w:cs="Arial"/>
          <w:spacing w:val="-6"/>
          <w:sz w:val="22"/>
          <w:u w:val="single"/>
        </w:rPr>
      </w:pPr>
    </w:p>
    <w:p w:rsidR="00000000" w:rsidRDefault="00E16305">
      <w:pPr>
        <w:pStyle w:val="Nagwek7"/>
        <w:numPr>
          <w:ilvl w:val="0"/>
          <w:numId w:val="1"/>
        </w:numPr>
        <w:tabs>
          <w:tab w:val="left" w:pos="426"/>
        </w:tabs>
        <w:ind w:left="1440" w:hanging="1440"/>
      </w:pPr>
      <w:r>
        <w:rPr>
          <w:rFonts w:ascii="Arial" w:hAnsi="Arial" w:cs="Arial"/>
        </w:rPr>
        <w:t>Rodzaj inwestycji.</w:t>
      </w:r>
    </w:p>
    <w:p w:rsidR="00000000" w:rsidRDefault="00E1630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Zabudowa rekreacji indywidualnej</w:t>
      </w:r>
    </w:p>
    <w:p w:rsidR="00000000" w:rsidRDefault="00E16305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 xml:space="preserve">Inwestycja pod nazwą </w:t>
      </w:r>
      <w:r>
        <w:rPr>
          <w:rFonts w:ascii="Arial" w:hAnsi="Arial" w:cs="Arial"/>
          <w:szCs w:val="22"/>
        </w:rPr>
        <w:t>“budowa budynku rekreacji indywidualnej i szamba szczelnego”</w:t>
      </w:r>
      <w:r>
        <w:rPr>
          <w:rFonts w:ascii="Arial" w:hAnsi="Arial" w:cs="Arial"/>
          <w:szCs w:val="22"/>
        </w:rPr>
        <w:t>.</w:t>
      </w:r>
    </w:p>
    <w:p w:rsidR="00000000" w:rsidRDefault="00E16305">
      <w:pPr>
        <w:pStyle w:val="WW-HTML-wstpniesformatowany"/>
        <w:numPr>
          <w:ilvl w:val="0"/>
          <w:numId w:val="10"/>
        </w:numPr>
        <w:tabs>
          <w:tab w:val="left" w:pos="426"/>
        </w:tabs>
        <w:ind w:left="426" w:right="70" w:hanging="426"/>
        <w:jc w:val="both"/>
      </w:pPr>
      <w:r>
        <w:rPr>
          <w:rFonts w:ascii="Arial" w:hAnsi="Arial" w:cs="Arial"/>
          <w:b/>
          <w:sz w:val="22"/>
          <w:u w:val="single"/>
        </w:rPr>
        <w:t>Warunki i szczegółowe zasady zagospodarowania terenu oraz jego zabudowy wynikające z przepisów odrębnych w zakresie:</w:t>
      </w:r>
    </w:p>
    <w:p w:rsidR="00000000" w:rsidRDefault="00E16305">
      <w:pPr>
        <w:pStyle w:val="WW-HTML-wstpniesformatowany"/>
        <w:numPr>
          <w:ilvl w:val="0"/>
          <w:numId w:val="13"/>
        </w:numPr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Warunków i wymagań ochrony i kształtowania ładu przestrzennego.</w:t>
      </w:r>
    </w:p>
    <w:p w:rsidR="00000000" w:rsidRDefault="00E16305">
      <w:pPr>
        <w:pStyle w:val="WW-HTML-wstpniesformatowany"/>
        <w:ind w:left="900" w:right="70" w:hanging="180"/>
        <w:jc w:val="both"/>
      </w:pPr>
      <w:r>
        <w:rPr>
          <w:rFonts w:ascii="Arial" w:hAnsi="Arial" w:cs="Arial"/>
          <w:sz w:val="22"/>
        </w:rPr>
        <w:t xml:space="preserve">Ustala się następujące parametry i wskaźniki kształtowania zabudowy oraz </w:t>
      </w:r>
      <w:r>
        <w:rPr>
          <w:rFonts w:ascii="Arial" w:hAnsi="Arial" w:cs="Arial"/>
          <w:sz w:val="22"/>
        </w:rPr>
        <w:t>zagospodarowania terenu:</w:t>
      </w:r>
    </w:p>
    <w:p w:rsidR="00000000" w:rsidRDefault="00E16305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Powierzchnia zabudowy kubaturowej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maksymalnie 35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000000" w:rsidRDefault="00E16305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 xml:space="preserve">Udział powierzchni biologicznie czynnej w zagospodarowaniu terenu objętego inwestycją </w:t>
      </w:r>
      <w:r>
        <w:rPr>
          <w:rFonts w:ascii="Arial" w:hAnsi="Arial" w:cs="Arial"/>
          <w:sz w:val="22"/>
        </w:rPr>
        <w:t>– minimalna 30% powierzchni terenu inwestycji</w:t>
      </w:r>
    </w:p>
    <w:p w:rsidR="00000000" w:rsidRDefault="00E16305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Linia zabudowy</w:t>
      </w:r>
      <w:r>
        <w:rPr>
          <w:rFonts w:ascii="Arial" w:hAnsi="Arial" w:cs="Arial"/>
          <w:sz w:val="22"/>
        </w:rPr>
        <w:t>:</w:t>
      </w:r>
    </w:p>
    <w:p w:rsidR="00000000" w:rsidRDefault="00E1630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b/>
        </w:rPr>
        <w:t>maksymalna nieprzekraczalna</w:t>
      </w:r>
      <w:r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yznaczona w odległości 5 m od drogi </w:t>
      </w:r>
      <w:r>
        <w:rPr>
          <w:rFonts w:ascii="Arial" w:hAnsi="Arial" w:cs="Arial"/>
          <w:bCs/>
        </w:rPr>
        <w:t>gminnej,</w:t>
      </w:r>
    </w:p>
    <w:p w:rsidR="00000000" w:rsidRDefault="00E16305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szCs w:val="22"/>
        </w:rPr>
        <w:t>przebieg linii zabudowy przedstawia</w:t>
      </w:r>
      <w:r>
        <w:rPr>
          <w:rFonts w:ascii="Arial" w:hAnsi="Arial" w:cs="Arial"/>
        </w:rPr>
        <w:t xml:space="preserve"> się na załączniku graficznym do decyzji.</w:t>
      </w:r>
    </w:p>
    <w:p w:rsidR="00000000" w:rsidRDefault="00E16305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u w:val="single"/>
        </w:rPr>
        <w:t>Ustalenia dla budynku rekreacji indywidualnej:</w:t>
      </w:r>
    </w:p>
    <w:p w:rsidR="00000000" w:rsidRDefault="00E16305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</w:rPr>
        <w:t xml:space="preserve">a) szerokość elewacji frontowej, rozumianej jako </w:t>
      </w:r>
      <w:r>
        <w:rPr>
          <w:rFonts w:ascii="Arial" w:hAnsi="Arial" w:cs="Arial"/>
        </w:rPr>
        <w:t>cała szerokość budynku od linii zabudowy – maksymalnie 7 m,</w:t>
      </w:r>
    </w:p>
    <w:p w:rsidR="00000000" w:rsidRDefault="00E16305">
      <w:pPr>
        <w:tabs>
          <w:tab w:val="left" w:pos="1560"/>
        </w:tabs>
        <w:spacing w:after="0" w:line="240" w:lineRule="auto"/>
        <w:ind w:left="1560" w:right="70" w:hanging="1560"/>
      </w:pPr>
      <w:r>
        <w:rPr>
          <w:rFonts w:ascii="Arial" w:eastAsia="Arial" w:hAnsi="Arial" w:cs="Arial"/>
          <w:szCs w:val="22"/>
        </w:rPr>
        <w:t xml:space="preserve">                       </w:t>
      </w: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</w:rPr>
        <w:t>wysokość górnej krawędzi elewacji frontowej, jej gzymsu lub attyki – maksymalnie 2,5 m,</w:t>
      </w:r>
    </w:p>
    <w:p w:rsidR="00000000" w:rsidRDefault="00E16305">
      <w:pPr>
        <w:tabs>
          <w:tab w:val="left" w:pos="1560"/>
        </w:tabs>
        <w:spacing w:after="0" w:line="240" w:lineRule="auto"/>
        <w:ind w:left="1560" w:right="70" w:hanging="1560"/>
      </w:pPr>
      <w:r>
        <w:rPr>
          <w:rFonts w:ascii="Arial" w:eastAsia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 xml:space="preserve">geometria dachu: </w:t>
      </w:r>
      <w:r>
        <w:rPr>
          <w:rFonts w:ascii="Arial" w:hAnsi="Arial" w:cs="Arial"/>
        </w:rPr>
        <w:t>dach dwuspadowy o spadku połaci dachowy</w:t>
      </w:r>
      <w:r>
        <w:rPr>
          <w:rFonts w:ascii="Arial" w:hAnsi="Arial" w:cs="Arial"/>
        </w:rPr>
        <w:t>ch do 45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, maksymalna wysokość do kalenicy dachu 5,0 m.</w:t>
      </w:r>
    </w:p>
    <w:p w:rsidR="00000000" w:rsidRDefault="00E16305">
      <w:pPr>
        <w:pStyle w:val="HTML-wstpniesformatowany1"/>
        <w:ind w:left="1560" w:right="70"/>
        <w:jc w:val="both"/>
        <w:rPr>
          <w:rFonts w:ascii="Arial" w:hAnsi="Arial" w:cs="Arial"/>
          <w:sz w:val="22"/>
          <w:szCs w:val="22"/>
        </w:rPr>
      </w:pPr>
    </w:p>
    <w:p w:rsidR="00000000" w:rsidRDefault="00E16305">
      <w:pPr>
        <w:pStyle w:val="HTML-wstpniesformatowany1"/>
        <w:ind w:left="1134" w:right="70" w:hanging="1134"/>
        <w:jc w:val="both"/>
      </w:pP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2. Istniejące na terenie inwestycji znaki geodezyjne oraz urządzenia zabezpieczające te znaki należy chronić przed zniszczeniem, w szczególności nie wolno dopuścić do ich uszkodzenia bądź narusz</w:t>
      </w:r>
      <w:r>
        <w:rPr>
          <w:rFonts w:ascii="Arial" w:hAnsi="Arial" w:cs="Arial"/>
          <w:sz w:val="22"/>
        </w:rPr>
        <w:t>enia ich lokalizacji.</w:t>
      </w:r>
    </w:p>
    <w:p w:rsidR="00000000" w:rsidRDefault="00E16305">
      <w:pPr>
        <w:pStyle w:val="HTML-wstpniesformatowany1"/>
        <w:ind w:left="1134" w:right="70" w:hanging="1134"/>
        <w:jc w:val="both"/>
      </w:pPr>
    </w:p>
    <w:p w:rsidR="00000000" w:rsidRDefault="00E16305">
      <w:pPr>
        <w:pStyle w:val="WW-HTML-wstpniesformatowany"/>
        <w:numPr>
          <w:ilvl w:val="0"/>
          <w:numId w:val="14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środowiska, przyrody i krajobrazu.</w:t>
      </w:r>
    </w:p>
    <w:p w:rsidR="00000000" w:rsidRDefault="00E16305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Inwestycja nie może naruszać równowagi przyrodniczej i utrudniać prowadzenia racjonalnej gospodarki zasobami środowiska.</w:t>
      </w:r>
    </w:p>
    <w:p w:rsidR="00000000" w:rsidRDefault="00E16305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Odległości od istniejących sieci i urządzeń infrastruktury techniczne</w:t>
      </w:r>
      <w:r>
        <w:rPr>
          <w:rFonts w:ascii="Arial" w:hAnsi="Arial" w:cs="Arial"/>
        </w:rPr>
        <w:t>j należy zachować zgodnie z przepisami odrębnymi.</w:t>
      </w:r>
    </w:p>
    <w:p w:rsidR="00000000" w:rsidRDefault="00E16305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Należy prowadzić zorganizowaną gospodarkę odpadami.</w:t>
      </w:r>
    </w:p>
    <w:p w:rsidR="00000000" w:rsidRDefault="00E16305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lastRenderedPageBreak/>
        <w:t xml:space="preserve">W zagospodarowaniu omawianego terenu należy uwzględnić przepisy Ustawy z dnia 20 lipca 2017 r. – Prawo Wodne (jednolity tekst Dz. U. z </w:t>
      </w:r>
      <w:r>
        <w:rPr>
          <w:rStyle w:val="postbody"/>
          <w:rFonts w:ascii="Arial" w:eastAsia="MS Minngs" w:hAnsi="Arial" w:cs="Arial"/>
          <w:color w:val="000000"/>
        </w:rPr>
        <w:t>2019 r., poz. 125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zabraniające wprowadzenia ścieków do wód i ziemi bez uprzedniego oczyszczenia.</w:t>
      </w:r>
    </w:p>
    <w:p w:rsidR="00000000" w:rsidRDefault="00E16305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Nie należy odprowadzać wód i wód deszczowych na grunty sąsiednie lub drogę.</w:t>
      </w:r>
    </w:p>
    <w:p w:rsidR="00000000" w:rsidRDefault="00E16305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Zabudowa działek nie może powodować zalewania lub podsiąkania nieruchomości sąsiednich.</w:t>
      </w:r>
    </w:p>
    <w:p w:rsidR="00000000" w:rsidRDefault="00E16305">
      <w:pPr>
        <w:pStyle w:val="WW-HTML-wstpniesformatowany"/>
        <w:numPr>
          <w:ilvl w:val="0"/>
          <w:numId w:val="11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dzied</w:t>
      </w:r>
      <w:r>
        <w:rPr>
          <w:rFonts w:ascii="Arial" w:hAnsi="Arial" w:cs="Arial"/>
          <w:sz w:val="22"/>
          <w:u w:val="single"/>
        </w:rPr>
        <w:t>zictwa kulturowego i zabytków oraz dóbr kultury współczesnej.</w:t>
      </w:r>
    </w:p>
    <w:p w:rsidR="00000000" w:rsidRDefault="00E16305">
      <w:pPr>
        <w:pStyle w:val="Tekstpodstawowywcity1"/>
        <w:ind w:left="851" w:firstLine="0"/>
      </w:pPr>
      <w:r>
        <w:rPr>
          <w:rFonts w:ascii="Arial" w:hAnsi="Arial" w:cs="Arial"/>
          <w:sz w:val="22"/>
        </w:rPr>
        <w:t xml:space="preserve">Nie określa się nakazów, zakazów, dopuszczeń i ograniczeń w zabudowie i zagospodarowaniu terenu dotyczących ochrony dziedzictwa kulturowego i zabytków oraz dóbr kultury współczesnej.  </w:t>
      </w:r>
    </w:p>
    <w:p w:rsidR="00000000" w:rsidRDefault="00E16305">
      <w:pPr>
        <w:pStyle w:val="Tekstpodstawowywcity1"/>
        <w:ind w:left="851" w:firstLine="0"/>
        <w:rPr>
          <w:rFonts w:ascii="Arial" w:hAnsi="Arial" w:cs="Arial"/>
          <w:sz w:val="22"/>
        </w:rPr>
      </w:pPr>
    </w:p>
    <w:p w:rsidR="00000000" w:rsidRDefault="00E16305">
      <w:pPr>
        <w:pStyle w:val="WW-HTML-wstpniesformatowany"/>
        <w:numPr>
          <w:ilvl w:val="0"/>
          <w:numId w:val="15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 xml:space="preserve">Obsługi </w:t>
      </w:r>
      <w:r>
        <w:rPr>
          <w:rFonts w:ascii="Arial" w:hAnsi="Arial" w:cs="Arial"/>
          <w:sz w:val="22"/>
          <w:u w:val="single"/>
        </w:rPr>
        <w:t>w zakresie infrastruktury technicznej i komunikacji.</w:t>
      </w:r>
    </w:p>
    <w:p w:rsidR="00000000" w:rsidRDefault="00E16305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dostęp do drogi publicznej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do drogi gminnej – projektowanym zjazdem, miejsca parkingowe: </w:t>
      </w:r>
      <w:r>
        <w:rPr>
          <w:rFonts w:ascii="Arial" w:hAnsi="Arial" w:cs="Arial"/>
          <w:sz w:val="22"/>
          <w:szCs w:val="22"/>
        </w:rPr>
        <w:t>ustala się min. 1 miejsce postojowe w obrębie działki nr 67/6</w:t>
      </w:r>
    </w:p>
    <w:p w:rsidR="00000000" w:rsidRDefault="00E16305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energia elektryczna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</w:t>
      </w:r>
      <w:r>
        <w:rPr>
          <w:rFonts w:ascii="Arial" w:hAnsi="Arial" w:cs="Arial"/>
          <w:sz w:val="22"/>
          <w:szCs w:val="22"/>
        </w:rPr>
        <w:t>enia do sieci,</w:t>
      </w:r>
    </w:p>
    <w:p w:rsidR="00000000" w:rsidRDefault="00E16305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woda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warunkami przyłączenia do sieci,</w:t>
      </w:r>
    </w:p>
    <w:p w:rsidR="00000000" w:rsidRDefault="00E16305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ścieki bytowe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– do szczelnego zbiornika bezodpływowego,</w:t>
      </w:r>
    </w:p>
    <w:p w:rsidR="00000000" w:rsidRDefault="00E16305">
      <w:pPr>
        <w:pStyle w:val="WW-Tekstblokowy"/>
        <w:numPr>
          <w:ilvl w:val="1"/>
          <w:numId w:val="12"/>
        </w:numPr>
        <w:tabs>
          <w:tab w:val="left" w:pos="1418"/>
        </w:tabs>
        <w:ind w:left="1418" w:right="0" w:hanging="567"/>
        <w:jc w:val="both"/>
      </w:pPr>
      <w:r>
        <w:rPr>
          <w:rFonts w:ascii="Arial" w:hAnsi="Arial" w:cs="Arial"/>
          <w:sz w:val="22"/>
          <w:u w:val="single"/>
        </w:rPr>
        <w:t>wody opadowe</w:t>
      </w:r>
      <w:r>
        <w:rPr>
          <w:rFonts w:ascii="Arial" w:hAnsi="Arial" w:cs="Arial"/>
          <w:sz w:val="22"/>
        </w:rPr>
        <w:t xml:space="preserve"> – na teren własnej działki, </w:t>
      </w:r>
      <w:r>
        <w:rPr>
          <w:rFonts w:ascii="Arial" w:hAnsi="Arial" w:cs="Arial"/>
          <w:color w:val="000000"/>
          <w:sz w:val="22"/>
        </w:rPr>
        <w:t>w sposób niepowodujący zakłóceń stosunków wodnych na gruntach przyległych</w:t>
      </w:r>
      <w:r>
        <w:rPr>
          <w:rFonts w:ascii="Arial" w:hAnsi="Arial" w:cs="Arial"/>
          <w:sz w:val="22"/>
        </w:rPr>
        <w:t>;</w:t>
      </w:r>
    </w:p>
    <w:p w:rsidR="00000000" w:rsidRDefault="00E16305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</w:pPr>
      <w:r>
        <w:rPr>
          <w:rFonts w:ascii="Arial" w:hAnsi="Arial" w:cs="Arial"/>
          <w:u w:val="single"/>
        </w:rPr>
        <w:t>odpady stałe komuna</w:t>
      </w:r>
      <w:r>
        <w:rPr>
          <w:rFonts w:ascii="Arial" w:hAnsi="Arial" w:cs="Arial"/>
          <w:u w:val="single"/>
        </w:rPr>
        <w:t>lne</w:t>
      </w:r>
      <w:r>
        <w:rPr>
          <w:rFonts w:ascii="Arial" w:hAnsi="Arial" w:cs="Arial"/>
        </w:rPr>
        <w:t xml:space="preserve"> – do odpowiednich pojemników, i okresowo wywożone, zgodnie z przepisami odrębnymi;</w:t>
      </w:r>
    </w:p>
    <w:p w:rsidR="00000000" w:rsidRDefault="00E16305">
      <w:pPr>
        <w:pStyle w:val="WW-Tekstpodstawowy3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zaopatrzenie w ciepło</w:t>
      </w:r>
      <w:r>
        <w:rPr>
          <w:rFonts w:ascii="Arial" w:hAnsi="Arial" w:cs="Arial"/>
          <w:sz w:val="22"/>
        </w:rPr>
        <w:t xml:space="preserve"> – w razie zapotrzebowania z projektowanego indywidualnego źródła ciepła.</w:t>
      </w:r>
    </w:p>
    <w:p w:rsidR="00000000" w:rsidRDefault="00E16305">
      <w:pPr>
        <w:pStyle w:val="WW-HTML-wstpniesformatowany"/>
        <w:numPr>
          <w:ilvl w:val="0"/>
          <w:numId w:val="12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Wymagań dotyczących ochrony interesów osób trzecich.</w:t>
      </w:r>
    </w:p>
    <w:p w:rsidR="00000000" w:rsidRDefault="00E16305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>decyzja niniejsza nie</w:t>
      </w:r>
      <w:r>
        <w:rPr>
          <w:rFonts w:ascii="Arial" w:hAnsi="Arial" w:cs="Arial"/>
          <w:sz w:val="22"/>
        </w:rPr>
        <w:t xml:space="preserve"> rodzi praw do terenu oraz nie narusza prawa własności i uprawnień osób trzecich (art. 63 ust. 2 ustawy z dnia 27 marca 2003 r. o planowaniu i zagospodarowaniu przestrzennym);</w:t>
      </w:r>
    </w:p>
    <w:p w:rsidR="00000000" w:rsidRDefault="00E16305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 xml:space="preserve">realizacja inwestycji nie może spowodować </w:t>
      </w:r>
      <w:r>
        <w:rPr>
          <w:rFonts w:ascii="Arial" w:hAnsi="Arial" w:cs="Arial"/>
          <w:color w:val="000000"/>
          <w:sz w:val="22"/>
        </w:rPr>
        <w:t>uciążliwości na terenach sąsiednich za</w:t>
      </w:r>
      <w:r>
        <w:rPr>
          <w:rFonts w:ascii="Arial" w:hAnsi="Arial" w:cs="Arial"/>
          <w:color w:val="000000"/>
          <w:sz w:val="22"/>
        </w:rPr>
        <w:t>równo na etapie wykonywania robót budowlanych jak i w czasie eksploatacji inwestycji; dotyczy to w szczególności uciążliwości spowodowanych przez hałas, wibrację, zakłócenia elektryczne i promieniowanie, zanieczyszczenia powietrza, gleby i wody oraz nie mo</w:t>
      </w:r>
      <w:r>
        <w:rPr>
          <w:rFonts w:ascii="Arial" w:hAnsi="Arial" w:cs="Arial"/>
          <w:color w:val="000000"/>
          <w:sz w:val="22"/>
        </w:rPr>
        <w:t>że powodować: pozbawienia dostępu światła dziennego dla pomieszczeń przeznaczonych na pobyt ludzi oraz dostępu do drogi publicznej, uniemożliwiać korzystanie z wody, kanalizacji, energii elektrycznej, cieplnej i środków łączności</w:t>
      </w:r>
      <w:r>
        <w:rPr>
          <w:rFonts w:ascii="Arial" w:hAnsi="Arial" w:cs="Arial"/>
        </w:rPr>
        <w:t>.</w:t>
      </w:r>
    </w:p>
    <w:p w:rsidR="00000000" w:rsidRDefault="00E16305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>budynek i sposób zagospod</w:t>
      </w:r>
      <w:r>
        <w:rPr>
          <w:rFonts w:ascii="Arial" w:hAnsi="Arial" w:cs="Arial"/>
          <w:sz w:val="22"/>
        </w:rPr>
        <w:t xml:space="preserve">arowania działki powinny spełniać wymogi zawarte w Rozporządzenia Ministra Infrastruktury z dnia 12 kwietnia 2002 roku w sprawie warunków technicznych, jakim powinny odpowiadać budynki i ich usytuowanie (Dz. U. z 12 kwietnia 2002 r. Nr 75 poz. 690 z późn. </w:t>
      </w:r>
      <w:r>
        <w:rPr>
          <w:rFonts w:ascii="Arial" w:hAnsi="Arial" w:cs="Arial"/>
          <w:sz w:val="22"/>
        </w:rPr>
        <w:t>zm.).</w:t>
      </w:r>
    </w:p>
    <w:p w:rsidR="00000000" w:rsidRDefault="00E16305">
      <w:pPr>
        <w:pStyle w:val="WW-HTML-wstpniesformatowany"/>
        <w:numPr>
          <w:ilvl w:val="0"/>
          <w:numId w:val="16"/>
        </w:numPr>
        <w:tabs>
          <w:tab w:val="left" w:pos="851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Granic i sposobów zagospodarowania terenów lub obiektów podlegających ochronie a także narażonych na niebezpieczeństwo powodzi oraz zagrożonych osuwaniem się mas ziemnych.</w:t>
      </w:r>
    </w:p>
    <w:p w:rsidR="00000000" w:rsidRDefault="00E16305">
      <w:pPr>
        <w:pStyle w:val="WW-Tekstpodstawowy3"/>
        <w:ind w:left="900"/>
      </w:pPr>
      <w:r>
        <w:rPr>
          <w:rFonts w:ascii="Arial" w:hAnsi="Arial" w:cs="Arial"/>
          <w:sz w:val="22"/>
        </w:rPr>
        <w:t>Teren nie leży na obszarze podlegającym ochronie, nie jest narażony na niebezp</w:t>
      </w:r>
      <w:r>
        <w:rPr>
          <w:rFonts w:ascii="Arial" w:hAnsi="Arial" w:cs="Arial"/>
          <w:sz w:val="22"/>
        </w:rPr>
        <w:t>ieczeństwo powodzi ani nie jest zagrożony osuwaniem się mas ziemnych.</w:t>
      </w:r>
    </w:p>
    <w:p w:rsidR="00000000" w:rsidRDefault="00E16305">
      <w:pPr>
        <w:pStyle w:val="WW-Tekstpodstawowy3"/>
        <w:ind w:left="567"/>
        <w:rPr>
          <w:rFonts w:ascii="Arial" w:hAnsi="Arial" w:cs="Arial"/>
          <w:sz w:val="22"/>
        </w:rPr>
      </w:pPr>
    </w:p>
    <w:p w:rsidR="00000000" w:rsidRDefault="00E16305">
      <w:pPr>
        <w:pStyle w:val="WW-HTML-wstpniesformatowany"/>
        <w:numPr>
          <w:ilvl w:val="0"/>
          <w:numId w:val="9"/>
        </w:numPr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/>
        <w:jc w:val="both"/>
      </w:pPr>
      <w:r>
        <w:rPr>
          <w:rFonts w:ascii="Arial" w:hAnsi="Arial" w:cs="Arial"/>
          <w:b/>
          <w:sz w:val="22"/>
          <w:u w:val="single"/>
        </w:rPr>
        <w:t>Linie rozgraniczające teren inwestycji</w:t>
      </w:r>
    </w:p>
    <w:p w:rsidR="00000000" w:rsidRDefault="00E16305">
      <w:pPr>
        <w:pStyle w:val="Tekstpodstawowywcity1"/>
        <w:ind w:left="360" w:firstLine="0"/>
      </w:pPr>
      <w:r>
        <w:rPr>
          <w:rFonts w:ascii="Arial" w:hAnsi="Arial" w:cs="Arial"/>
          <w:sz w:val="22"/>
        </w:rPr>
        <w:t xml:space="preserve">Linie rozgraniczające teren inwestycji przedstawione są na załączniku graficznym do decyzji (załącznik nr 1) oraz na </w:t>
      </w:r>
      <w:r>
        <w:rPr>
          <w:rFonts w:ascii="Arial" w:hAnsi="Arial" w:cs="Arial"/>
          <w:color w:val="000000"/>
          <w:sz w:val="22"/>
        </w:rPr>
        <w:t>części graficznej analizy i w</w:t>
      </w:r>
      <w:r>
        <w:rPr>
          <w:rFonts w:ascii="Arial" w:hAnsi="Arial" w:cs="Arial"/>
          <w:color w:val="000000"/>
          <w:sz w:val="22"/>
        </w:rPr>
        <w:t>yników analizy architektoniczno-urbanistycznej (załącznik nr 2). Załączniki zostały sporządzone na mapie w skali 1:1000.</w:t>
      </w:r>
    </w:p>
    <w:p w:rsidR="00000000" w:rsidRDefault="00E16305">
      <w:pPr>
        <w:spacing w:after="0" w:line="240" w:lineRule="auto"/>
        <w:jc w:val="center"/>
        <w:rPr>
          <w:rFonts w:ascii="Arial" w:hAnsi="Arial" w:cs="Arial"/>
        </w:rPr>
      </w:pPr>
    </w:p>
    <w:p w:rsidR="00000000" w:rsidRDefault="00E16305">
      <w:pPr>
        <w:pStyle w:val="Tekstpodstawowy31"/>
        <w:spacing w:line="240" w:lineRule="auto"/>
        <w:ind w:firstLine="360"/>
        <w:jc w:val="both"/>
      </w:pPr>
      <w:r>
        <w:rPr>
          <w:rFonts w:ascii="Arial" w:hAnsi="Arial" w:cs="Arial"/>
          <w:sz w:val="22"/>
        </w:rPr>
        <w:t>Wnioskodawcy, który nie uzyskał prawa do dysponowania gruntem przeznaczonym na cele budowlane nie przysługuje roszczenie o zwrot nakła</w:t>
      </w:r>
      <w:r>
        <w:rPr>
          <w:rFonts w:ascii="Arial" w:hAnsi="Arial" w:cs="Arial"/>
          <w:sz w:val="22"/>
        </w:rPr>
        <w:t>dów poniesionych w związku z otrzymaną decyzją o warunkach zabudowy.</w:t>
      </w:r>
    </w:p>
    <w:p w:rsidR="00000000" w:rsidRDefault="00E16305">
      <w:pPr>
        <w:pStyle w:val="WW-Tekstpodstawowy3"/>
        <w:ind w:firstLine="360"/>
      </w:pPr>
      <w:r>
        <w:rPr>
          <w:rStyle w:val="apple-style-span"/>
          <w:rFonts w:ascii="Arial" w:hAnsi="Arial" w:cs="Arial"/>
          <w:color w:val="000000"/>
          <w:sz w:val="22"/>
        </w:rPr>
        <w:t>Roboty budowlane związane z przedmiotowym przedsięwzięciem inwestor będzie mógł rozpocząć dopiero na podstawie ostatecznej decyzji o pozwoleniu na budowę, uzyskanej                   w tr</w:t>
      </w:r>
      <w:r>
        <w:rPr>
          <w:rStyle w:val="apple-style-span"/>
          <w:rFonts w:ascii="Arial" w:hAnsi="Arial" w:cs="Arial"/>
          <w:color w:val="000000"/>
          <w:sz w:val="22"/>
        </w:rPr>
        <w:t xml:space="preserve">ybie określonym przepisami ustawy z dnia 7.07.1994 r. Prawo budowlane </w:t>
      </w:r>
      <w:r>
        <w:rPr>
          <w:rFonts w:ascii="Arial" w:hAnsi="Arial" w:cs="Arial"/>
          <w:sz w:val="22"/>
        </w:rPr>
        <w:t>(t.j. Dz.U. z 2018 r., poz. 1202</w:t>
      </w:r>
      <w:r>
        <w:rPr>
          <w:rStyle w:val="apple-style-span"/>
          <w:rFonts w:ascii="Arial" w:hAnsi="Arial" w:cs="Arial"/>
          <w:color w:val="000000"/>
          <w:sz w:val="22"/>
        </w:rPr>
        <w:t xml:space="preserve">). </w:t>
      </w:r>
      <w:r>
        <w:rPr>
          <w:rFonts w:ascii="Arial" w:hAnsi="Arial" w:cs="Arial"/>
          <w:color w:val="000000"/>
          <w:sz w:val="22"/>
        </w:rPr>
        <w:t>Sama decyzja o warunkach zabudowy nie jest aktem upoważniającym do podjęcia i realizacji inwestycji. Przed rozpoczęciem inwestycji inwestor musi, w zal</w:t>
      </w:r>
      <w:r>
        <w:rPr>
          <w:rFonts w:ascii="Arial" w:hAnsi="Arial" w:cs="Arial"/>
          <w:color w:val="000000"/>
          <w:sz w:val="22"/>
        </w:rPr>
        <w:t>eżności od charakteru inwestycji uzyskać pozwolenie na budowę (albo dokonać stosownego zgłoszenia).</w:t>
      </w:r>
    </w:p>
    <w:p w:rsidR="00000000" w:rsidRDefault="00E16305">
      <w:pPr>
        <w:pStyle w:val="Tekstpodstawowy31"/>
        <w:spacing w:after="0"/>
        <w:ind w:firstLine="360"/>
        <w:jc w:val="both"/>
      </w:pPr>
      <w:r>
        <w:rPr>
          <w:rFonts w:ascii="Arial" w:hAnsi="Arial" w:cs="Arial"/>
          <w:sz w:val="22"/>
        </w:rPr>
        <w:lastRenderedPageBreak/>
        <w:t>W celu uzyskania decyzji - pozwolenia na budowę inwestor winien wystąpić ze stosownym wnioskiem do Starosty po uprzednim uzyskaniu wymaganych przepisami szc</w:t>
      </w:r>
      <w:r>
        <w:rPr>
          <w:rFonts w:ascii="Arial" w:hAnsi="Arial" w:cs="Arial"/>
          <w:sz w:val="22"/>
        </w:rPr>
        <w:t>zególnymi decyzji, pozwoleń, uzgodnień lub opinii, stosownie do wymogów ustawy z dnia 7 lipca 1994 roku Prawo budowlane.</w:t>
      </w:r>
    </w:p>
    <w:p w:rsidR="00000000" w:rsidRDefault="00E16305">
      <w:pPr>
        <w:spacing w:after="0" w:line="240" w:lineRule="auto"/>
        <w:jc w:val="center"/>
      </w:pPr>
      <w:r>
        <w:rPr>
          <w:rFonts w:ascii="Arial" w:hAnsi="Arial" w:cs="Arial"/>
          <w:sz w:val="19"/>
        </w:rPr>
        <w:t>UZASADNIENIE</w:t>
      </w:r>
    </w:p>
    <w:p w:rsidR="00000000" w:rsidRDefault="00E16305">
      <w:pPr>
        <w:spacing w:after="0" w:line="240" w:lineRule="auto"/>
        <w:jc w:val="center"/>
        <w:rPr>
          <w:rFonts w:ascii="Arial" w:hAnsi="Arial" w:cs="Arial"/>
          <w:sz w:val="19"/>
        </w:rPr>
      </w:pPr>
    </w:p>
    <w:p w:rsidR="00000000" w:rsidRDefault="00E16305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Wniosek o wydanie decyzji o warunkach zabudowy wpłynął do Wójta Gminy Boniewo w dniu                 10.05.2019 r.</w:t>
      </w:r>
    </w:p>
    <w:p w:rsidR="00000000" w:rsidRDefault="00E16305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</w:t>
      </w:r>
      <w:r>
        <w:rPr>
          <w:rFonts w:ascii="Arial" w:hAnsi="Arial" w:cs="Arial"/>
          <w:sz w:val="19"/>
        </w:rPr>
        <w:t>k sprawdzono pod względem spełnienia wymogów przewidzianych ustawą z dnia 27 marca 2003 r. o planowaniu i zagospodarowaniu przestrzennym.</w:t>
      </w:r>
    </w:p>
    <w:p w:rsidR="00000000" w:rsidRDefault="00E16305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Stosownie do art. 61 § 4 Kodeksu postępowania administracyjnego, pismem z dnia  13.05.2019 r. Wnioskodawca i wszystkie</w:t>
      </w:r>
      <w:r>
        <w:rPr>
          <w:rFonts w:ascii="Arial" w:hAnsi="Arial" w:cs="Arial"/>
          <w:sz w:val="19"/>
        </w:rPr>
        <w:t xml:space="preserve"> strony postępowania zostali zawiadomieni o wszczęciu postępowania administracyjnego w przedmiotowej sprawie i poinformowani o przysługujących im uprawnieniach, z których mogły korzystać bez ograniczeń. Do pisma o wszczęciu postępowania dołączono projekt d</w:t>
      </w:r>
      <w:r>
        <w:rPr>
          <w:rFonts w:ascii="Arial" w:hAnsi="Arial" w:cs="Arial"/>
          <w:sz w:val="19"/>
        </w:rPr>
        <w:t xml:space="preserve">ecyzji celem zapoznania się. </w:t>
      </w:r>
    </w:p>
    <w:p w:rsidR="00000000" w:rsidRDefault="00E16305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Zgodnie z art. 53 ust. 3 wyżej wymienionej ustawy Wójt dokonał analizy warunków i zasad zagospodarowania terenu oraz jego zabudowy, wynikających z przepisów odrębnych oraz stanu faktycznego              i prawnego terenu, na k</w:t>
      </w:r>
      <w:r>
        <w:rPr>
          <w:rFonts w:ascii="Arial" w:hAnsi="Arial" w:cs="Arial"/>
          <w:sz w:val="19"/>
        </w:rPr>
        <w:t>tórym przewiduje się realizację inwestycji.</w:t>
      </w:r>
    </w:p>
    <w:p w:rsidR="00000000" w:rsidRDefault="00E16305">
      <w:pPr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 stwierdził, iż teren nie jest objęty obowiązującym miejscowym planem zagospodarowania przestrzennego oraz, że inwestycja nie spełnia definicji inwestycji celu publicznego, zawartej w art. 2 pkt. 5) wyżej wy</w:t>
      </w:r>
      <w:r>
        <w:rPr>
          <w:rFonts w:ascii="Arial" w:hAnsi="Arial" w:cs="Arial"/>
          <w:sz w:val="19"/>
        </w:rPr>
        <w:t>mienionej ustawy. Tym samym, zgodnie z art. 4 ust. 2 pkt. 2) wyżej wymienionej ustawy sposób zagospodarowania terenu i warunki zabudowy ustala się w drodze decyzji o warunkach zabudowy.</w:t>
      </w:r>
    </w:p>
    <w:p w:rsidR="00000000" w:rsidRDefault="00E16305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sz w:val="19"/>
        </w:rPr>
        <w:t>Organ, w celu ustalenia warunków zabudowy wykonał czynności, zgodnie z</w:t>
      </w:r>
      <w:r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color w:val="000000"/>
          <w:sz w:val="19"/>
        </w:rPr>
        <w:t>Rozporządzeniem Ministra Infrastruktury z dnia 26 sierpnia 2003 r. w sprawie sposobu ustalania wymagań dotyczących nowej zabudowy i zagospodarowania terenu w przypadku braku planu zagospodarowania przestrzennego.</w:t>
      </w:r>
    </w:p>
    <w:p w:rsidR="00000000" w:rsidRDefault="00E16305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color w:val="000000"/>
          <w:sz w:val="19"/>
        </w:rPr>
        <w:t>Organ wyznaczył wokół terenu objętego wnio</w:t>
      </w:r>
      <w:r>
        <w:rPr>
          <w:rFonts w:ascii="Arial" w:hAnsi="Arial" w:cs="Arial"/>
          <w:color w:val="000000"/>
          <w:sz w:val="19"/>
        </w:rPr>
        <w:t xml:space="preserve">skiem obszar analizowany oraz </w:t>
      </w:r>
      <w:r>
        <w:rPr>
          <w:rFonts w:ascii="Arial" w:hAnsi="Arial" w:cs="Arial"/>
          <w:sz w:val="19"/>
        </w:rPr>
        <w:t>przeprowadził na nim analizę funkcji oraz cech zabudowy i zagospodarowania terenu w zakresie warunków, o których mowa w art. 61 ust. 1 - 5 ustawy o planowaniu i zagospodarowaniu przestrzennym. Wyniki analizy organ przedstawiał</w:t>
      </w:r>
      <w:r>
        <w:rPr>
          <w:rFonts w:ascii="Arial" w:hAnsi="Arial" w:cs="Arial"/>
          <w:sz w:val="19"/>
        </w:rPr>
        <w:t xml:space="preserve">                                 w załącznikach nr 2 i 3 do niniejszej decyzji.</w:t>
      </w:r>
    </w:p>
    <w:p w:rsidR="00000000" w:rsidRDefault="00E16305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Organ, w wyniku analizy stwierdził, że:</w:t>
      </w:r>
    </w:p>
    <w:p w:rsidR="00000000" w:rsidRDefault="00E16305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działki sąsiednie dostępne z tej samej drogi publicznej są zabudowane w sposób pozwalający na określenie wymagań dotyczących nowej zabud</w:t>
      </w:r>
      <w:r>
        <w:rPr>
          <w:rFonts w:ascii="Arial" w:hAnsi="Arial" w:cs="Arial"/>
          <w:sz w:val="19"/>
        </w:rPr>
        <w:t>owy w zakresie kontynuacji funkcji, parametrów, cech                  i wskaźników kształtowania zabudowy oraz zagospodarowania terenu, w tym gabarytów i formy architektonicznej obiektów budowlanych oraz intensywności wykorzystania terenu; zaznaczyć należy</w:t>
      </w:r>
      <w:r>
        <w:rPr>
          <w:rFonts w:ascii="Arial" w:hAnsi="Arial" w:cs="Arial"/>
          <w:sz w:val="19"/>
        </w:rPr>
        <w:t xml:space="preserve"> iż, działki rozumiane są jako sąsiedztwo urbanistyczne a nie bezpośrednio przylegające do omawianej działki;</w:t>
      </w:r>
    </w:p>
    <w:p w:rsidR="00000000" w:rsidRDefault="00E16305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inwestycji ma dostęp do drogi publicznej;</w:t>
      </w:r>
    </w:p>
    <w:p w:rsidR="00000000" w:rsidRDefault="00E16305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projektowane uzbrojenie terenu jest wystarczające dla zamierzenia budowlanego;</w:t>
      </w:r>
    </w:p>
    <w:p w:rsidR="00000000" w:rsidRDefault="00E16305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nie wymaga uz</w:t>
      </w:r>
      <w:r>
        <w:rPr>
          <w:rFonts w:ascii="Arial" w:hAnsi="Arial" w:cs="Arial"/>
          <w:sz w:val="19"/>
        </w:rPr>
        <w:t>yskania zgody na przeznaczenie gruntu na cele nierolnicze i nieleśne;</w:t>
      </w:r>
    </w:p>
    <w:p w:rsidR="00000000" w:rsidRDefault="00E16305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niniejsza decyzja jest zgodna z przepisami odrębnymi.</w:t>
      </w:r>
    </w:p>
    <w:p w:rsidR="00000000" w:rsidRDefault="00E16305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  <w:color w:val="000000"/>
          <w:sz w:val="19"/>
        </w:rPr>
        <w:tab/>
      </w:r>
      <w:r>
        <w:rPr>
          <w:rFonts w:ascii="Arial" w:hAnsi="Arial" w:cs="Arial"/>
          <w:sz w:val="19"/>
        </w:rPr>
        <w:t xml:space="preserve">Stwierdzono, że planowana inwestycja spełnia wymogi zawarte w art. 61 ust. 1 ustawy o planowaniu i zagospodarowaniu przestrzennym, </w:t>
      </w:r>
      <w:r>
        <w:rPr>
          <w:rFonts w:ascii="Arial" w:hAnsi="Arial" w:cs="Arial"/>
          <w:sz w:val="19"/>
        </w:rPr>
        <w:t>w tym jest zgodna z wymogami przepisów szczególnych i odrębnych.</w:t>
      </w:r>
    </w:p>
    <w:p w:rsidR="00000000" w:rsidRDefault="00E16305">
      <w:pPr>
        <w:tabs>
          <w:tab w:val="left" w:pos="426"/>
        </w:tabs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     </w:t>
      </w:r>
      <w:r>
        <w:rPr>
          <w:rFonts w:ascii="Arial" w:hAnsi="Arial" w:cs="Arial"/>
          <w:sz w:val="19"/>
        </w:rPr>
        <w:t>Projekt decyzji, zgodnie z art. 60 ust. 1 ustawy o planowaniu i zagospodarowaniu przestrzennym, został sporządzony przez dyplomowanego architekta.</w:t>
      </w:r>
    </w:p>
    <w:p w:rsidR="00000000" w:rsidRDefault="00E16305">
      <w:pPr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</w:t>
      </w:r>
      <w:r>
        <w:rPr>
          <w:rFonts w:ascii="Arial" w:hAnsi="Arial" w:cs="Arial"/>
          <w:sz w:val="19"/>
        </w:rPr>
        <w:t>Projekt decyzji o warunkach zabud</w:t>
      </w:r>
      <w:r>
        <w:rPr>
          <w:rFonts w:ascii="Arial" w:hAnsi="Arial" w:cs="Arial"/>
          <w:sz w:val="19"/>
        </w:rPr>
        <w:t>owy dla przedmiotowej inwestycji przesłano do uzgodnienia                         ze Starostą w zakresie ochrony gruntów rolnych. W ustawowym terminie nie otrzymano uzgodnienia – uznaje się za uzgodnienie projektu decyzji.</w:t>
      </w:r>
    </w:p>
    <w:p w:rsidR="00000000" w:rsidRDefault="00E16305">
      <w:pPr>
        <w:spacing w:after="0" w:line="240" w:lineRule="auto"/>
        <w:jc w:val="both"/>
        <w:rPr>
          <w:rFonts w:ascii="Arial" w:hAnsi="Arial" w:cs="Arial"/>
          <w:color w:val="000000"/>
          <w:sz w:val="19"/>
        </w:rPr>
      </w:pPr>
    </w:p>
    <w:p w:rsidR="00000000" w:rsidRDefault="00E16305">
      <w:pPr>
        <w:pStyle w:val="Tekstpodstawowywcity1"/>
        <w:ind w:firstLine="360"/>
      </w:pPr>
      <w:r>
        <w:rPr>
          <w:rFonts w:ascii="Arial" w:hAnsi="Arial" w:cs="Arial"/>
          <w:sz w:val="19"/>
        </w:rPr>
        <w:t>Niniejsza decyzja nie rozstrzyga</w:t>
      </w:r>
      <w:r>
        <w:rPr>
          <w:rFonts w:ascii="Arial" w:hAnsi="Arial" w:cs="Arial"/>
          <w:sz w:val="19"/>
        </w:rPr>
        <w:t xml:space="preserve"> w przedmiocie zgodności lub braku zgodności wnioskowanego zamierzenia inwestycyjnego z przepisami Prawa budowlanego, w szczególności z przepisami Rozporządzenia Ministra Infrastruktury z dnia 12 kwietnia 2002 roku w sprawie warunków technicznych, jakim po</w:t>
      </w:r>
      <w:r>
        <w:rPr>
          <w:rFonts w:ascii="Arial" w:hAnsi="Arial" w:cs="Arial"/>
          <w:sz w:val="19"/>
        </w:rPr>
        <w:t>winny odpowiadać budynki i ich usytuowanie (Dz. U. z 12 kwietnia 2002 r. Nr 75 poz. 690 z późniejszymi zmianami).</w:t>
      </w:r>
    </w:p>
    <w:p w:rsidR="00000000" w:rsidRDefault="00E16305">
      <w:pPr>
        <w:pStyle w:val="Tekstpodstawowywcity1"/>
        <w:ind w:firstLine="0"/>
        <w:rPr>
          <w:rFonts w:ascii="Arial" w:hAnsi="Arial" w:cs="Arial"/>
          <w:sz w:val="20"/>
        </w:rPr>
      </w:pPr>
    </w:p>
    <w:p w:rsidR="00000000" w:rsidRDefault="00E16305">
      <w:pPr>
        <w:pStyle w:val="Nagwek8"/>
        <w:jc w:val="center"/>
      </w:pPr>
      <w:r>
        <w:rPr>
          <w:rFonts w:ascii="Arial" w:hAnsi="Arial" w:cs="Arial"/>
          <w:sz w:val="20"/>
        </w:rPr>
        <w:t>POUCZENIE</w:t>
      </w:r>
    </w:p>
    <w:p w:rsidR="00000000" w:rsidRDefault="00E16305">
      <w:pPr>
        <w:pStyle w:val="Tekstpodstawowywcity31"/>
        <w:spacing w:after="0"/>
        <w:ind w:left="0" w:firstLine="426"/>
        <w:jc w:val="both"/>
        <w:rPr>
          <w:rFonts w:ascii="Arial" w:hAnsi="Arial" w:cs="Arial"/>
          <w:sz w:val="20"/>
        </w:rPr>
      </w:pPr>
    </w:p>
    <w:p w:rsidR="00000000" w:rsidRDefault="00E16305">
      <w:pPr>
        <w:pStyle w:val="Tekstpodstawowywcity31"/>
        <w:spacing w:after="0"/>
        <w:ind w:left="0" w:firstLine="426"/>
        <w:jc w:val="both"/>
      </w:pPr>
      <w:r>
        <w:rPr>
          <w:rFonts w:ascii="Arial" w:hAnsi="Arial" w:cs="Arial"/>
          <w:sz w:val="20"/>
        </w:rPr>
        <w:t>Zgodnie z przepisem art. 63 ust. 4 ustawy o planowaniu i zagospodarowaniu przestrzennym wnioskodawcy, który nie uzyskał prawa do t</w:t>
      </w:r>
      <w:r>
        <w:rPr>
          <w:rFonts w:ascii="Arial" w:hAnsi="Arial" w:cs="Arial"/>
          <w:sz w:val="20"/>
        </w:rPr>
        <w:t>erenu, nie przysługuje roszczenie o zwrot nakładów poniesionych w związku z otrzymaną decyzją ustalającą warunki zabudowy.</w:t>
      </w:r>
    </w:p>
    <w:p w:rsidR="00000000" w:rsidRDefault="00E16305">
      <w:pPr>
        <w:pStyle w:val="widnicaulDbrowskiego758"/>
        <w:ind w:firstLine="426"/>
        <w:jc w:val="both"/>
      </w:pPr>
      <w:r>
        <w:rPr>
          <w:rFonts w:ascii="Arial" w:hAnsi="Arial" w:cs="Arial"/>
          <w:sz w:val="20"/>
        </w:rPr>
        <w:t>Wójt Gminy Boniewo w drodze decyzji stwierdza wygaśnięcie niniejszej decyzji o ustaleniu warunków zabudowy, jeżeli:</w:t>
      </w:r>
    </w:p>
    <w:p w:rsidR="00000000" w:rsidRDefault="00E16305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inny wnioskodawca</w:t>
      </w:r>
      <w:r>
        <w:rPr>
          <w:rFonts w:ascii="Arial" w:hAnsi="Arial" w:cs="Arial"/>
          <w:sz w:val="20"/>
        </w:rPr>
        <w:t xml:space="preserve"> uzyska pozwolenie na budowę;</w:t>
      </w:r>
    </w:p>
    <w:p w:rsidR="00000000" w:rsidRDefault="00E16305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 xml:space="preserve">dla tego terenu zostanie uchwalony plan miejscowy, którego ustalenia są inne niż w wydanej </w:t>
      </w:r>
      <w:r>
        <w:rPr>
          <w:rFonts w:ascii="Arial" w:hAnsi="Arial" w:cs="Arial"/>
          <w:sz w:val="20"/>
        </w:rPr>
        <w:tab/>
        <w:t>decyzji.</w:t>
      </w:r>
    </w:p>
    <w:p w:rsidR="00000000" w:rsidRDefault="00E16305">
      <w:pPr>
        <w:pStyle w:val="widnicaulDbrowskiego758"/>
        <w:ind w:left="426"/>
        <w:jc w:val="both"/>
        <w:rPr>
          <w:rFonts w:ascii="Arial" w:hAnsi="Arial" w:cs="Arial"/>
          <w:sz w:val="20"/>
        </w:rPr>
      </w:pPr>
    </w:p>
    <w:p w:rsidR="00000000" w:rsidRDefault="00E16305">
      <w:pPr>
        <w:jc w:val="center"/>
      </w:pPr>
      <w:r>
        <w:rPr>
          <w:rFonts w:ascii="Arial" w:hAnsi="Arial" w:cs="Arial"/>
          <w:sz w:val="20"/>
        </w:rPr>
        <w:t>Od niniejszej decyzji służy prawo odwołania do Samorządowego Kolegium Odwoławczego                             we Włocławku,</w:t>
      </w:r>
      <w:r>
        <w:rPr>
          <w:rFonts w:ascii="Arial" w:hAnsi="Arial" w:cs="Arial"/>
          <w:sz w:val="20"/>
        </w:rPr>
        <w:t xml:space="preserve"> za pośrednictwem Wójta Gminy Boniewo w terminie czternastu dni od dnia jej doręczenia.</w:t>
      </w:r>
    </w:p>
    <w:p w:rsidR="00000000" w:rsidRDefault="00E16305">
      <w:pPr>
        <w:pStyle w:val="WW-Tekstpodstawowy3"/>
        <w:rPr>
          <w:rFonts w:ascii="Arial" w:hAnsi="Arial" w:cs="Arial"/>
          <w:color w:val="000000"/>
          <w:sz w:val="16"/>
          <w:szCs w:val="16"/>
          <w:u w:val="single"/>
        </w:rPr>
      </w:pPr>
    </w:p>
    <w:p w:rsidR="00000000" w:rsidRDefault="00E16305">
      <w:pPr>
        <w:pStyle w:val="WW-Tekstpodstawowy3"/>
      </w:pPr>
      <w:r>
        <w:rPr>
          <w:rFonts w:ascii="Arial" w:hAnsi="Arial" w:cs="Arial"/>
          <w:color w:val="000000"/>
          <w:sz w:val="16"/>
          <w:szCs w:val="16"/>
          <w:u w:val="single"/>
        </w:rPr>
        <w:t>Załącznikami do decyzji są:</w:t>
      </w:r>
    </w:p>
    <w:p w:rsidR="00000000" w:rsidRDefault="00E16305">
      <w:pPr>
        <w:pStyle w:val="WW-Tekstpodstawowy3"/>
        <w:numPr>
          <w:ilvl w:val="0"/>
          <w:numId w:val="8"/>
        </w:numPr>
      </w:pPr>
      <w:r>
        <w:rPr>
          <w:rFonts w:ascii="Arial" w:hAnsi="Arial" w:cs="Arial"/>
          <w:color w:val="000000"/>
          <w:sz w:val="16"/>
          <w:szCs w:val="16"/>
        </w:rPr>
        <w:lastRenderedPageBreak/>
        <w:t>Załącznik Nr 1 – załącznik graficzny do decyzji – mapa w skali 1:1000.</w:t>
      </w:r>
    </w:p>
    <w:p w:rsidR="00000000" w:rsidRDefault="00E16305">
      <w:pPr>
        <w:pStyle w:val="WW-Tekstpodstawowy3"/>
        <w:rPr>
          <w:rFonts w:ascii="Arial" w:hAnsi="Arial" w:cs="Arial"/>
          <w:color w:val="000000"/>
          <w:sz w:val="16"/>
          <w:szCs w:val="16"/>
        </w:rPr>
      </w:pPr>
    </w:p>
    <w:p w:rsidR="00000000" w:rsidRDefault="00E16305">
      <w:pPr>
        <w:pStyle w:val="WW-Tekstpodstawowy3"/>
        <w:rPr>
          <w:rFonts w:ascii="Arial" w:hAnsi="Arial" w:cs="Arial"/>
          <w:color w:val="000000"/>
          <w:sz w:val="16"/>
          <w:szCs w:val="16"/>
        </w:rPr>
      </w:pPr>
    </w:p>
    <w:p w:rsidR="00E16305" w:rsidRDefault="00E16305">
      <w:pPr>
        <w:pStyle w:val="WW-Tekstpodstawowy3"/>
      </w:pPr>
    </w:p>
    <w:sectPr w:rsidR="00E16305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05" w:rsidRDefault="00E16305">
      <w:pPr>
        <w:spacing w:after="0" w:line="240" w:lineRule="auto"/>
      </w:pPr>
      <w:r>
        <w:separator/>
      </w:r>
    </w:p>
  </w:endnote>
  <w:endnote w:type="continuationSeparator" w:id="1">
    <w:p w:rsidR="00E16305" w:rsidRDefault="00E1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ngs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6305">
    <w:pPr>
      <w:pStyle w:val="Stopka"/>
      <w:tabs>
        <w:tab w:val="center" w:pos="4534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9D72BF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\* ARABIC </w:instrText>
    </w:r>
    <w:r>
      <w:rPr>
        <w:b/>
        <w:sz w:val="18"/>
      </w:rPr>
      <w:fldChar w:fldCharType="separate"/>
    </w:r>
    <w:r w:rsidR="009D72BF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63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05" w:rsidRDefault="00E16305">
      <w:pPr>
        <w:spacing w:after="0" w:line="240" w:lineRule="auto"/>
      </w:pPr>
      <w:r>
        <w:separator/>
      </w:r>
    </w:p>
  </w:footnote>
  <w:footnote w:type="continuationSeparator" w:id="1">
    <w:p w:rsidR="00E16305" w:rsidRDefault="00E1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  <w:szCs w:val="22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  <w:bCs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BF"/>
    <w:rsid w:val="009D72BF"/>
    <w:rsid w:val="00E1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 w:firstLine="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19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Arial" w:hAnsi="Arial" w:cs="Arial" w:hint="default"/>
      <w:b w:val="0"/>
      <w:szCs w:val="22"/>
    </w:rPr>
  </w:style>
  <w:style w:type="character" w:customStyle="1" w:styleId="WW8Num6z2">
    <w:name w:val="WW8Num6z2"/>
    <w:rPr>
      <w:rFonts w:ascii="Arial" w:hAnsi="Arial" w:cs="Arial" w:hint="default"/>
      <w:b w:val="0"/>
      <w:i w:val="0"/>
      <w:sz w:val="22"/>
    </w:rPr>
  </w:style>
  <w:style w:type="character" w:customStyle="1" w:styleId="WW8Num6z3">
    <w:name w:val="WW8Num6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Cs/>
    </w:rPr>
  </w:style>
  <w:style w:type="character" w:customStyle="1" w:styleId="WW8Num8z0">
    <w:name w:val="WW8Num8z0"/>
    <w:rPr>
      <w:rFonts w:ascii="Arial" w:hAnsi="Arial" w:cs="Arial"/>
      <w:sz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Arial" w:hAnsi="Arial" w:cs="Arial" w:hint="default"/>
      <w:b w:val="0"/>
      <w:i w:val="0"/>
      <w:sz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sz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2">
    <w:name w:val="WW8Num12z2"/>
  </w:style>
  <w:style w:type="character" w:customStyle="1" w:styleId="WW8Num15z2">
    <w:name w:val="WW8Num15z2"/>
  </w:style>
  <w:style w:type="character" w:customStyle="1" w:styleId="WW8Num16z1">
    <w:name w:val="WW8Num16z1"/>
    <w:rPr>
      <w:rFonts w:ascii="Arial" w:hAnsi="Arial" w:cs="Arial" w:hint="default"/>
      <w:b w:val="0"/>
      <w:i w:val="0"/>
      <w:sz w:val="22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character" w:customStyle="1" w:styleId="postbody">
    <w:name w:val="postbody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1995-11-21T15:41:00Z</cp:lastPrinted>
  <dcterms:created xsi:type="dcterms:W3CDTF">2019-06-12T08:34:00Z</dcterms:created>
  <dcterms:modified xsi:type="dcterms:W3CDTF">2019-06-12T08:34:00Z</dcterms:modified>
</cp:coreProperties>
</file>